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019C8394" w:rsidR="00A4282D" w:rsidRDefault="000F7A00" w:rsidP="00A4282D">
      <w:pPr>
        <w:pStyle w:val="Title"/>
      </w:pPr>
      <w:bookmarkStart w:id="0" w:name="_GoBack"/>
      <w:bookmarkEnd w:id="0"/>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r w:rsidR="00907A40">
        <w:t>f</w:t>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754CDF">
      <w:pPr>
        <w:pStyle w:val="Title"/>
        <w:ind w:left="0"/>
        <w:jc w:val="left"/>
        <w:rPr>
          <w:rFonts w:asciiTheme="majorHAnsi" w:hAnsiTheme="majorHAnsi"/>
        </w:rPr>
      </w:pPr>
    </w:p>
    <w:p w14:paraId="6490EBC1" w14:textId="74461D02" w:rsidR="0080639A" w:rsidRPr="0080639A" w:rsidRDefault="003772B7" w:rsidP="00A4282D">
      <w:pPr>
        <w:pStyle w:val="Title"/>
        <w:rPr>
          <w:rFonts w:asciiTheme="majorHAnsi" w:hAnsiTheme="majorHAnsi"/>
        </w:rPr>
      </w:pPr>
      <w:r>
        <w:rPr>
          <w:rFonts w:asciiTheme="majorHAnsi" w:hAnsiTheme="majorHAnsi"/>
        </w:rPr>
        <w:t xml:space="preserve">ASCCC CTE Leadership Committee </w:t>
      </w:r>
    </w:p>
    <w:p w14:paraId="1FEF4977" w14:textId="118113F7" w:rsidR="00B07F66" w:rsidRDefault="009930D0" w:rsidP="0080639A">
      <w:pPr>
        <w:pStyle w:val="Title"/>
        <w:rPr>
          <w:rFonts w:asciiTheme="majorHAnsi" w:hAnsiTheme="majorHAnsi"/>
          <w:sz w:val="24"/>
          <w:szCs w:val="20"/>
        </w:rPr>
      </w:pPr>
      <w:r>
        <w:rPr>
          <w:rFonts w:asciiTheme="majorHAnsi" w:hAnsiTheme="majorHAnsi"/>
          <w:sz w:val="24"/>
          <w:szCs w:val="20"/>
        </w:rPr>
        <w:t xml:space="preserve">September 1, 2023 </w:t>
      </w:r>
    </w:p>
    <w:p w14:paraId="521C66EB" w14:textId="2CE9DB40" w:rsidR="00B35247" w:rsidRDefault="00B35247" w:rsidP="0080639A">
      <w:pPr>
        <w:pStyle w:val="Title"/>
        <w:rPr>
          <w:rFonts w:asciiTheme="majorHAnsi" w:hAnsiTheme="majorHAnsi"/>
          <w:sz w:val="24"/>
          <w:szCs w:val="20"/>
        </w:rPr>
      </w:pPr>
      <w:r>
        <w:rPr>
          <w:rFonts w:asciiTheme="majorHAnsi" w:hAnsiTheme="majorHAnsi"/>
          <w:sz w:val="24"/>
          <w:szCs w:val="20"/>
        </w:rPr>
        <w:t>12:00pm – 1:00pm</w:t>
      </w:r>
    </w:p>
    <w:p w14:paraId="05C09C82" w14:textId="524AA5AF" w:rsidR="006A07F5" w:rsidRPr="00CD1C6C" w:rsidRDefault="006A07F5" w:rsidP="0080639A">
      <w:pPr>
        <w:pStyle w:val="Title"/>
        <w:rPr>
          <w:rFonts w:asciiTheme="majorHAnsi" w:hAnsiTheme="majorHAnsi"/>
          <w:sz w:val="24"/>
          <w:szCs w:val="20"/>
        </w:rPr>
      </w:pPr>
      <w:r>
        <w:rPr>
          <w:rFonts w:asciiTheme="majorHAnsi" w:hAnsiTheme="majorHAnsi"/>
          <w:sz w:val="24"/>
          <w:szCs w:val="20"/>
        </w:rPr>
        <w:t xml:space="preserve">Via Zoom </w:t>
      </w:r>
    </w:p>
    <w:p w14:paraId="13A922A1" w14:textId="77777777" w:rsidR="00CD1C6C" w:rsidRDefault="00CD1C6C" w:rsidP="0080639A">
      <w:pPr>
        <w:pStyle w:val="Title"/>
        <w:rPr>
          <w:rFonts w:asciiTheme="majorHAnsi" w:hAnsiTheme="majorHAnsi"/>
          <w:sz w:val="20"/>
          <w:szCs w:val="20"/>
        </w:rPr>
      </w:pPr>
    </w:p>
    <w:p w14:paraId="302502C0" w14:textId="5DDD4E1F" w:rsidR="00BA6046" w:rsidRDefault="00B35247" w:rsidP="0080639A">
      <w:pPr>
        <w:pStyle w:val="Title"/>
        <w:rPr>
          <w:rStyle w:val="Hyperlink"/>
          <w:rFonts w:asciiTheme="majorHAnsi" w:hAnsiTheme="majorHAnsi"/>
          <w:sz w:val="24"/>
        </w:rPr>
      </w:pPr>
      <w:r>
        <w:t>Meeting Summary</w:t>
      </w:r>
    </w:p>
    <w:p w14:paraId="3E13270A" w14:textId="77777777" w:rsidR="00E410A7" w:rsidRDefault="00E410A7" w:rsidP="0080639A">
      <w:pPr>
        <w:pStyle w:val="Title"/>
        <w:rPr>
          <w:rFonts w:asciiTheme="majorHAnsi" w:hAnsiTheme="majorHAnsi"/>
          <w:sz w:val="24"/>
        </w:rPr>
      </w:pPr>
    </w:p>
    <w:p w14:paraId="464AA2CC" w14:textId="2BF30403" w:rsidR="00B35247" w:rsidRPr="00694847" w:rsidRDefault="000E06F1" w:rsidP="00694847">
      <w:pPr>
        <w:pStyle w:val="Title"/>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55DAE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8AAF00D" w14:textId="639D6560" w:rsidR="00B35247" w:rsidRDefault="00B35247" w:rsidP="00B35247">
      <w:pPr>
        <w:rPr>
          <w:rFonts w:asciiTheme="majorHAnsi" w:hAnsiTheme="majorHAnsi"/>
        </w:rPr>
      </w:pPr>
      <w:r>
        <w:rPr>
          <w:rFonts w:asciiTheme="majorHAnsi" w:hAnsiTheme="majorHAnsi"/>
        </w:rPr>
        <w:t>Members (* notes Present)</w:t>
      </w:r>
    </w:p>
    <w:tbl>
      <w:tblPr>
        <w:tblStyle w:val="TableGrid"/>
        <w:tblpPr w:leftFromText="180" w:rightFromText="180" w:vertAnchor="text" w:horzAnchor="margin" w:tblpY="155"/>
        <w:tblW w:w="0" w:type="auto"/>
        <w:tblLook w:val="04A0" w:firstRow="1" w:lastRow="0" w:firstColumn="1" w:lastColumn="0" w:noHBand="0" w:noVBand="1"/>
      </w:tblPr>
      <w:tblGrid>
        <w:gridCol w:w="4135"/>
        <w:gridCol w:w="2250"/>
        <w:gridCol w:w="3286"/>
      </w:tblGrid>
      <w:tr w:rsidR="00B35247" w14:paraId="1B01A574" w14:textId="77777777" w:rsidTr="00694847">
        <w:trPr>
          <w:trHeight w:val="313"/>
        </w:trPr>
        <w:tc>
          <w:tcPr>
            <w:tcW w:w="4135" w:type="dxa"/>
          </w:tcPr>
          <w:p w14:paraId="478E96BE" w14:textId="79891BF7" w:rsidR="00B35247" w:rsidRPr="00694847" w:rsidRDefault="00B35247" w:rsidP="00B35247">
            <w:pPr>
              <w:rPr>
                <w:rFonts w:asciiTheme="majorHAnsi" w:hAnsiTheme="majorHAnsi"/>
              </w:rPr>
            </w:pPr>
            <w:r w:rsidRPr="00694847">
              <w:rPr>
                <w:rFonts w:asciiTheme="majorHAnsi" w:hAnsiTheme="majorHAnsi"/>
              </w:rPr>
              <w:t xml:space="preserve">Stephanie Curry </w:t>
            </w:r>
            <w:r w:rsidR="006A07F5">
              <w:rPr>
                <w:rFonts w:asciiTheme="majorHAnsi" w:hAnsiTheme="majorHAnsi"/>
              </w:rPr>
              <w:t>–</w:t>
            </w:r>
            <w:r w:rsidRPr="00694847">
              <w:rPr>
                <w:rFonts w:asciiTheme="majorHAnsi" w:hAnsiTheme="majorHAnsi"/>
              </w:rPr>
              <w:t xml:space="preserve"> Chair</w:t>
            </w:r>
            <w:r w:rsidR="006A07F5">
              <w:rPr>
                <w:rFonts w:asciiTheme="majorHAnsi" w:hAnsiTheme="majorHAnsi"/>
              </w:rPr>
              <w:t>*</w:t>
            </w:r>
          </w:p>
        </w:tc>
        <w:tc>
          <w:tcPr>
            <w:tcW w:w="2250" w:type="dxa"/>
          </w:tcPr>
          <w:p w14:paraId="4439C9F8" w14:textId="02B2BD54" w:rsidR="00B35247" w:rsidRPr="00694847" w:rsidRDefault="00694847" w:rsidP="00B35247">
            <w:pPr>
              <w:rPr>
                <w:rFonts w:asciiTheme="majorHAnsi" w:hAnsiTheme="majorHAnsi"/>
              </w:rPr>
            </w:pPr>
            <w:r w:rsidRPr="00694847">
              <w:rPr>
                <w:rFonts w:asciiTheme="majorHAnsi" w:hAnsiTheme="majorHAnsi"/>
              </w:rPr>
              <w:t>John Grounds</w:t>
            </w:r>
            <w:r w:rsidR="006A07F5">
              <w:rPr>
                <w:rFonts w:asciiTheme="majorHAnsi" w:hAnsiTheme="majorHAnsi"/>
              </w:rPr>
              <w:t>*</w:t>
            </w:r>
          </w:p>
        </w:tc>
        <w:tc>
          <w:tcPr>
            <w:tcW w:w="3286" w:type="dxa"/>
          </w:tcPr>
          <w:p w14:paraId="78060BDA" w14:textId="1E15F7CA" w:rsidR="00B35247" w:rsidRPr="00694847" w:rsidRDefault="00694847" w:rsidP="00B35247">
            <w:pPr>
              <w:rPr>
                <w:rFonts w:asciiTheme="majorHAnsi" w:hAnsiTheme="majorHAnsi"/>
              </w:rPr>
            </w:pPr>
            <w:r w:rsidRPr="00694847">
              <w:rPr>
                <w:rFonts w:asciiTheme="majorHAnsi" w:hAnsiTheme="majorHAnsi"/>
              </w:rPr>
              <w:t>Marie Templo-Capule</w:t>
            </w:r>
            <w:r w:rsidR="006A07F5">
              <w:rPr>
                <w:rFonts w:asciiTheme="majorHAnsi" w:hAnsiTheme="majorHAnsi"/>
              </w:rPr>
              <w:t>*</w:t>
            </w:r>
          </w:p>
        </w:tc>
      </w:tr>
      <w:tr w:rsidR="00B35247" w14:paraId="35D43FE5" w14:textId="77777777" w:rsidTr="00694847">
        <w:trPr>
          <w:trHeight w:val="383"/>
        </w:trPr>
        <w:tc>
          <w:tcPr>
            <w:tcW w:w="4135" w:type="dxa"/>
          </w:tcPr>
          <w:p w14:paraId="29352557" w14:textId="1C02BE54" w:rsidR="00B35247" w:rsidRPr="00694847" w:rsidRDefault="00B35247" w:rsidP="00B35247">
            <w:pPr>
              <w:ind w:left="-30"/>
              <w:rPr>
                <w:rFonts w:asciiTheme="majorHAnsi" w:hAnsiTheme="majorHAnsi"/>
              </w:rPr>
            </w:pPr>
            <w:r w:rsidRPr="00694847">
              <w:rPr>
                <w:rFonts w:asciiTheme="majorHAnsi" w:hAnsiTheme="majorHAnsi"/>
              </w:rPr>
              <w:t>Christopher Howerton – 2</w:t>
            </w:r>
            <w:r w:rsidRPr="00694847">
              <w:rPr>
                <w:rFonts w:asciiTheme="majorHAnsi" w:hAnsiTheme="majorHAnsi"/>
                <w:vertAlign w:val="superscript"/>
              </w:rPr>
              <w:t>nd</w:t>
            </w:r>
            <w:r w:rsidRPr="00694847">
              <w:rPr>
                <w:rFonts w:asciiTheme="majorHAnsi" w:hAnsiTheme="majorHAnsi"/>
              </w:rPr>
              <w:t xml:space="preserve"> Chair</w:t>
            </w:r>
            <w:r w:rsidR="006A07F5">
              <w:rPr>
                <w:rFonts w:asciiTheme="majorHAnsi" w:hAnsiTheme="majorHAnsi"/>
              </w:rPr>
              <w:t>*</w:t>
            </w:r>
          </w:p>
        </w:tc>
        <w:tc>
          <w:tcPr>
            <w:tcW w:w="2250" w:type="dxa"/>
          </w:tcPr>
          <w:p w14:paraId="76E6380B" w14:textId="701738A8" w:rsidR="00B35247" w:rsidRPr="00694847" w:rsidRDefault="00694847" w:rsidP="00B35247">
            <w:pPr>
              <w:rPr>
                <w:rFonts w:asciiTheme="majorHAnsi" w:hAnsiTheme="majorHAnsi"/>
              </w:rPr>
            </w:pPr>
            <w:r w:rsidRPr="00694847">
              <w:rPr>
                <w:rFonts w:asciiTheme="majorHAnsi" w:hAnsiTheme="majorHAnsi"/>
              </w:rPr>
              <w:t>Alexander Jones</w:t>
            </w:r>
            <w:r w:rsidR="006A07F5">
              <w:rPr>
                <w:rFonts w:asciiTheme="majorHAnsi" w:hAnsiTheme="majorHAnsi"/>
              </w:rPr>
              <w:t>*</w:t>
            </w:r>
          </w:p>
        </w:tc>
        <w:tc>
          <w:tcPr>
            <w:tcW w:w="3286" w:type="dxa"/>
          </w:tcPr>
          <w:p w14:paraId="7900FC19" w14:textId="3732B94D" w:rsidR="00B35247" w:rsidRPr="00694847" w:rsidRDefault="00694847" w:rsidP="00B35247">
            <w:pPr>
              <w:rPr>
                <w:rFonts w:asciiTheme="majorHAnsi" w:hAnsiTheme="majorHAnsi"/>
              </w:rPr>
            </w:pPr>
            <w:r w:rsidRPr="00694847">
              <w:rPr>
                <w:rFonts w:asciiTheme="majorHAnsi" w:hAnsiTheme="majorHAnsi"/>
              </w:rPr>
              <w:t>Sigrid Williams</w:t>
            </w:r>
          </w:p>
        </w:tc>
      </w:tr>
      <w:tr w:rsidR="00B35247" w14:paraId="765C947C" w14:textId="77777777" w:rsidTr="00694847">
        <w:trPr>
          <w:trHeight w:val="313"/>
        </w:trPr>
        <w:tc>
          <w:tcPr>
            <w:tcW w:w="4135" w:type="dxa"/>
          </w:tcPr>
          <w:p w14:paraId="2AA414ED" w14:textId="35754F73" w:rsidR="00B35247" w:rsidRPr="00694847" w:rsidRDefault="00B35247" w:rsidP="00B35247">
            <w:pPr>
              <w:rPr>
                <w:rFonts w:asciiTheme="majorHAnsi" w:hAnsiTheme="majorHAnsi"/>
              </w:rPr>
            </w:pPr>
            <w:r w:rsidRPr="00694847">
              <w:rPr>
                <w:rFonts w:asciiTheme="majorHAnsi" w:hAnsiTheme="majorHAnsi"/>
              </w:rPr>
              <w:t>Amar Abbott</w:t>
            </w:r>
            <w:r w:rsidR="006A07F5">
              <w:rPr>
                <w:rFonts w:asciiTheme="majorHAnsi" w:hAnsiTheme="majorHAnsi"/>
              </w:rPr>
              <w:t>*</w:t>
            </w:r>
          </w:p>
        </w:tc>
        <w:tc>
          <w:tcPr>
            <w:tcW w:w="2250" w:type="dxa"/>
          </w:tcPr>
          <w:p w14:paraId="73C38EAD" w14:textId="326D9FB2" w:rsidR="00B35247" w:rsidRPr="00694847" w:rsidRDefault="00694847" w:rsidP="00B35247">
            <w:pPr>
              <w:rPr>
                <w:rFonts w:asciiTheme="majorHAnsi" w:hAnsiTheme="majorHAnsi"/>
              </w:rPr>
            </w:pPr>
            <w:r w:rsidRPr="00694847">
              <w:rPr>
                <w:rFonts w:asciiTheme="majorHAnsi" w:hAnsiTheme="majorHAnsi"/>
              </w:rPr>
              <w:t>Nicole Marquez</w:t>
            </w:r>
            <w:r w:rsidR="006A07F5">
              <w:rPr>
                <w:rFonts w:asciiTheme="majorHAnsi" w:hAnsiTheme="majorHAnsi"/>
              </w:rPr>
              <w:t>*</w:t>
            </w:r>
          </w:p>
        </w:tc>
        <w:tc>
          <w:tcPr>
            <w:tcW w:w="3286" w:type="dxa"/>
          </w:tcPr>
          <w:p w14:paraId="30458719" w14:textId="77777777" w:rsidR="00B35247" w:rsidRPr="00694847" w:rsidRDefault="00B35247" w:rsidP="00B35247">
            <w:pPr>
              <w:rPr>
                <w:rFonts w:asciiTheme="majorHAnsi" w:hAnsiTheme="majorHAnsi"/>
              </w:rPr>
            </w:pPr>
          </w:p>
        </w:tc>
      </w:tr>
      <w:tr w:rsidR="00B35247" w14:paraId="45FCC85B" w14:textId="77777777" w:rsidTr="00694847">
        <w:trPr>
          <w:trHeight w:val="313"/>
        </w:trPr>
        <w:tc>
          <w:tcPr>
            <w:tcW w:w="4135" w:type="dxa"/>
          </w:tcPr>
          <w:p w14:paraId="58B9410C" w14:textId="167E17F1" w:rsidR="00B35247" w:rsidRPr="00694847" w:rsidRDefault="00B35247" w:rsidP="00B35247">
            <w:pPr>
              <w:rPr>
                <w:rFonts w:asciiTheme="majorHAnsi" w:hAnsiTheme="majorHAnsi"/>
              </w:rPr>
            </w:pPr>
            <w:r w:rsidRPr="00694847">
              <w:rPr>
                <w:rFonts w:asciiTheme="majorHAnsi" w:hAnsiTheme="majorHAnsi"/>
              </w:rPr>
              <w:t>Jimmie Bowen</w:t>
            </w:r>
            <w:r w:rsidR="006A07F5">
              <w:rPr>
                <w:rFonts w:asciiTheme="majorHAnsi" w:hAnsiTheme="majorHAnsi"/>
              </w:rPr>
              <w:t>*</w:t>
            </w:r>
          </w:p>
        </w:tc>
        <w:tc>
          <w:tcPr>
            <w:tcW w:w="2250" w:type="dxa"/>
          </w:tcPr>
          <w:p w14:paraId="560147B1" w14:textId="4D176B59" w:rsidR="00B35247" w:rsidRPr="00694847" w:rsidRDefault="00694847" w:rsidP="00B35247">
            <w:pPr>
              <w:rPr>
                <w:rFonts w:asciiTheme="majorHAnsi" w:hAnsiTheme="majorHAnsi"/>
              </w:rPr>
            </w:pPr>
            <w:r w:rsidRPr="00694847">
              <w:rPr>
                <w:rFonts w:asciiTheme="majorHAnsi" w:hAnsiTheme="majorHAnsi"/>
              </w:rPr>
              <w:t>Brian Palmiter</w:t>
            </w:r>
            <w:r w:rsidR="006A07F5">
              <w:rPr>
                <w:rFonts w:asciiTheme="majorHAnsi" w:hAnsiTheme="majorHAnsi"/>
              </w:rPr>
              <w:t>*</w:t>
            </w:r>
          </w:p>
        </w:tc>
        <w:tc>
          <w:tcPr>
            <w:tcW w:w="3286" w:type="dxa"/>
          </w:tcPr>
          <w:p w14:paraId="0A284571" w14:textId="7075BE6C" w:rsidR="00B35247" w:rsidRPr="00694847" w:rsidRDefault="006A07F5" w:rsidP="00B35247">
            <w:pPr>
              <w:rPr>
                <w:rFonts w:asciiTheme="majorHAnsi" w:hAnsiTheme="majorHAnsi"/>
              </w:rPr>
            </w:pPr>
            <w:r>
              <w:rPr>
                <w:rFonts w:asciiTheme="majorHAnsi" w:hAnsiTheme="majorHAnsi"/>
              </w:rPr>
              <w:t>Lynn Shaw*</w:t>
            </w:r>
          </w:p>
        </w:tc>
      </w:tr>
      <w:tr w:rsidR="00B35247" w14:paraId="7EE8117D" w14:textId="77777777" w:rsidTr="00694847">
        <w:trPr>
          <w:trHeight w:val="329"/>
        </w:trPr>
        <w:tc>
          <w:tcPr>
            <w:tcW w:w="4135" w:type="dxa"/>
          </w:tcPr>
          <w:p w14:paraId="0D9F2FC4" w14:textId="14C300D2" w:rsidR="00B35247" w:rsidRPr="00694847" w:rsidRDefault="00B35247" w:rsidP="00B35247">
            <w:pPr>
              <w:rPr>
                <w:rFonts w:asciiTheme="majorHAnsi" w:hAnsiTheme="majorHAnsi"/>
              </w:rPr>
            </w:pPr>
            <w:r w:rsidRPr="00694847">
              <w:rPr>
                <w:rFonts w:asciiTheme="majorHAnsi" w:hAnsiTheme="majorHAnsi"/>
              </w:rPr>
              <w:t>Alana Gates</w:t>
            </w:r>
            <w:r w:rsidR="006A07F5">
              <w:rPr>
                <w:rFonts w:asciiTheme="majorHAnsi" w:hAnsiTheme="majorHAnsi"/>
              </w:rPr>
              <w:t>*</w:t>
            </w:r>
          </w:p>
        </w:tc>
        <w:tc>
          <w:tcPr>
            <w:tcW w:w="2250" w:type="dxa"/>
          </w:tcPr>
          <w:p w14:paraId="2EF82A7A" w14:textId="18032E64" w:rsidR="00B35247" w:rsidRPr="00694847" w:rsidRDefault="00694847" w:rsidP="00B35247">
            <w:pPr>
              <w:rPr>
                <w:rFonts w:asciiTheme="majorHAnsi" w:hAnsiTheme="majorHAnsi"/>
              </w:rPr>
            </w:pPr>
            <w:r w:rsidRPr="00694847">
              <w:rPr>
                <w:rFonts w:asciiTheme="majorHAnsi" w:hAnsiTheme="majorHAnsi"/>
              </w:rPr>
              <w:t>Stephanie Rowe</w:t>
            </w:r>
            <w:r w:rsidR="006A07F5">
              <w:rPr>
                <w:rFonts w:asciiTheme="majorHAnsi" w:hAnsiTheme="majorHAnsi"/>
              </w:rPr>
              <w:t>*</w:t>
            </w:r>
          </w:p>
        </w:tc>
        <w:tc>
          <w:tcPr>
            <w:tcW w:w="3286" w:type="dxa"/>
          </w:tcPr>
          <w:p w14:paraId="01824D9C" w14:textId="77777777" w:rsidR="00B35247" w:rsidRPr="00694847" w:rsidRDefault="00B35247" w:rsidP="00B35247">
            <w:pPr>
              <w:rPr>
                <w:rFonts w:asciiTheme="majorHAnsi" w:hAnsiTheme="majorHAnsi"/>
              </w:rPr>
            </w:pPr>
          </w:p>
        </w:tc>
      </w:tr>
    </w:tbl>
    <w:p w14:paraId="26C5E8E2" w14:textId="77777777" w:rsidR="00B35247" w:rsidRDefault="00B35247" w:rsidP="00B35247">
      <w:pPr>
        <w:ind w:left="1080"/>
        <w:rPr>
          <w:rFonts w:asciiTheme="majorHAnsi" w:hAnsiTheme="majorHAnsi"/>
        </w:rPr>
      </w:pPr>
    </w:p>
    <w:p w14:paraId="1485F856" w14:textId="7E279524" w:rsidR="00B35247" w:rsidRDefault="0080639A" w:rsidP="00694847">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7F73DD97" w14:textId="33A10BE6" w:rsidR="006A07F5" w:rsidRPr="006A07F5" w:rsidRDefault="006A07F5" w:rsidP="006A07F5">
      <w:pPr>
        <w:pStyle w:val="ListParagraph"/>
        <w:numPr>
          <w:ilvl w:val="0"/>
          <w:numId w:val="21"/>
        </w:numPr>
        <w:rPr>
          <w:rFonts w:asciiTheme="majorHAnsi" w:hAnsiTheme="majorHAnsi"/>
        </w:rPr>
      </w:pPr>
      <w:r w:rsidRPr="006A07F5">
        <w:rPr>
          <w:rFonts w:asciiTheme="majorHAnsi" w:hAnsiTheme="majorHAnsi"/>
        </w:rPr>
        <w:t>The meeting was called to order at</w:t>
      </w:r>
      <w:r>
        <w:rPr>
          <w:rFonts w:asciiTheme="majorHAnsi" w:hAnsiTheme="majorHAnsi"/>
        </w:rPr>
        <w:t xml:space="preserve"> 12:01pm. </w:t>
      </w:r>
    </w:p>
    <w:p w14:paraId="01B637BD" w14:textId="0EEC4FFB" w:rsidR="00DE318E" w:rsidRDefault="00DE318E" w:rsidP="00DE318E">
      <w:pPr>
        <w:ind w:left="360"/>
        <w:rPr>
          <w:rFonts w:asciiTheme="majorHAnsi" w:hAnsiTheme="majorHAnsi"/>
        </w:rPr>
      </w:pPr>
    </w:p>
    <w:p w14:paraId="1B6C863C" w14:textId="2E3DA193" w:rsidR="003B4A38" w:rsidRDefault="00C85A85" w:rsidP="003772B7">
      <w:pPr>
        <w:numPr>
          <w:ilvl w:val="0"/>
          <w:numId w:val="7"/>
        </w:numPr>
        <w:rPr>
          <w:rFonts w:asciiTheme="majorHAnsi" w:hAnsiTheme="majorHAnsi"/>
        </w:rPr>
      </w:pPr>
      <w:r>
        <w:rPr>
          <w:rFonts w:asciiTheme="majorHAnsi" w:hAnsiTheme="majorHAnsi"/>
        </w:rPr>
        <w:t xml:space="preserve">Welcome and Introductions </w:t>
      </w:r>
    </w:p>
    <w:p w14:paraId="07E22A13" w14:textId="03F04559" w:rsidR="005223FB" w:rsidRPr="005223FB" w:rsidRDefault="005223FB" w:rsidP="005223FB">
      <w:pPr>
        <w:numPr>
          <w:ilvl w:val="1"/>
          <w:numId w:val="7"/>
        </w:numPr>
        <w:rPr>
          <w:rFonts w:asciiTheme="majorHAnsi" w:hAnsiTheme="majorHAnsi"/>
        </w:rPr>
      </w:pPr>
      <w:r w:rsidRPr="005223FB">
        <w:rPr>
          <w:rFonts w:asciiTheme="majorHAnsi" w:hAnsiTheme="majorHAnsi"/>
        </w:rPr>
        <w:t xml:space="preserve">The chair welcomed the new members of the CTELC and members had a chance to introduce themselves. </w:t>
      </w:r>
    </w:p>
    <w:p w14:paraId="51C25837" w14:textId="77777777" w:rsidR="008F7D86" w:rsidRPr="00B92E73" w:rsidRDefault="008F7D86" w:rsidP="008F7D86">
      <w:pPr>
        <w:ind w:left="1080"/>
        <w:rPr>
          <w:rFonts w:asciiTheme="majorHAnsi" w:hAnsiTheme="majorHAnsi"/>
        </w:rPr>
      </w:pPr>
    </w:p>
    <w:p w14:paraId="67CBDD17" w14:textId="39E915B1" w:rsidR="008F7D86" w:rsidRDefault="00C85A85" w:rsidP="0098538A">
      <w:pPr>
        <w:numPr>
          <w:ilvl w:val="0"/>
          <w:numId w:val="7"/>
        </w:numPr>
        <w:rPr>
          <w:rFonts w:asciiTheme="majorHAnsi" w:hAnsiTheme="majorHAnsi"/>
        </w:rPr>
      </w:pPr>
      <w:r>
        <w:rPr>
          <w:rFonts w:asciiTheme="majorHAnsi" w:hAnsiTheme="majorHAnsi"/>
        </w:rPr>
        <w:t xml:space="preserve">Review of Committee Charge </w:t>
      </w:r>
    </w:p>
    <w:p w14:paraId="22D21C29" w14:textId="091EBA12" w:rsidR="005223FB" w:rsidRDefault="005223FB" w:rsidP="005223FB">
      <w:pPr>
        <w:numPr>
          <w:ilvl w:val="1"/>
          <w:numId w:val="7"/>
        </w:numPr>
        <w:rPr>
          <w:rFonts w:asciiTheme="majorHAnsi" w:hAnsiTheme="majorHAnsi"/>
        </w:rPr>
      </w:pPr>
      <w:r>
        <w:rPr>
          <w:rFonts w:asciiTheme="majorHAnsi" w:hAnsiTheme="majorHAnsi"/>
        </w:rPr>
        <w:t>The committee reviewed the charge statement below and discussed the role of this committee as it relates to the overall work of ASCCC. Specifically making recommendations</w:t>
      </w:r>
      <w:r w:rsidR="00ED71AF">
        <w:rPr>
          <w:rFonts w:asciiTheme="majorHAnsi" w:hAnsiTheme="majorHAnsi"/>
        </w:rPr>
        <w:t xml:space="preserve"> and supporting professional development.</w:t>
      </w:r>
    </w:p>
    <w:p w14:paraId="3CE7C073" w14:textId="2E3C4FCC" w:rsidR="00D630D3" w:rsidRPr="0098538A" w:rsidRDefault="00D630D3" w:rsidP="005223FB">
      <w:pPr>
        <w:numPr>
          <w:ilvl w:val="1"/>
          <w:numId w:val="7"/>
        </w:numPr>
        <w:rPr>
          <w:rFonts w:asciiTheme="majorHAnsi" w:hAnsiTheme="majorHAnsi"/>
        </w:rPr>
      </w:pPr>
      <w:r>
        <w:rPr>
          <w:rFonts w:asciiTheme="majorHAnsi" w:hAnsiTheme="majorHAnsi"/>
        </w:rPr>
        <w:t xml:space="preserve">The chair also shared information about the committee website and opportunities to signup for various listservs to keep informed. </w:t>
      </w:r>
    </w:p>
    <w:p w14:paraId="0312E65D" w14:textId="77777777" w:rsidR="00C85A85" w:rsidRPr="003772B7" w:rsidRDefault="00C85A85" w:rsidP="00C85A85">
      <w:pPr>
        <w:ind w:left="1080"/>
        <w:rPr>
          <w:rFonts w:asciiTheme="majorHAnsi" w:hAnsiTheme="majorHAnsi"/>
          <w:sz w:val="22"/>
          <w:szCs w:val="22"/>
        </w:rPr>
      </w:pPr>
    </w:p>
    <w:p w14:paraId="52C6A2FF" w14:textId="50EB41DA" w:rsidR="003772B7" w:rsidRDefault="003772B7" w:rsidP="00694847">
      <w:p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A0A0A"/>
          <w:sz w:val="22"/>
          <w:szCs w:val="22"/>
          <w:shd w:val="clear" w:color="auto" w:fill="FFFFFF"/>
        </w:rPr>
      </w:pPr>
      <w:r w:rsidRPr="003772B7">
        <w:rPr>
          <w:rFonts w:asciiTheme="majorHAnsi" w:hAnsiTheme="majorHAnsi" w:cstheme="majorHAnsi"/>
          <w:color w:val="0A0A0A"/>
          <w:sz w:val="22"/>
          <w:szCs w:val="22"/>
          <w:shd w:val="clear" w:color="auto" w:fill="FFFFFF"/>
        </w:rPr>
        <w:t>Per California Education Code, Part 54.5, section 88821, the CTE Leadership Committee provides recommendations on career and technical education and workforce development issues and challenges in the California community colleges. The committee works collaboratively with the ASCCC Executive Committee to provide assistance to community college districts, CTE departments, and CTE faculty in creating and maintaining responsive and system-wide portable curriculum courses, programs, and degrees aligned to current and emergent industry trends, guided pathways, and to focus on diversity, equity, and inclusion in all aspects of career education. The committee is also focused on diversity by expanding the participation of diverse CTE faculty in leadership roles at the local, regional, and statewide levels through its ongoing professional development efforts. (updated June 4, 2021)</w:t>
      </w:r>
    </w:p>
    <w:p w14:paraId="71F261D2" w14:textId="77777777" w:rsidR="001B0E8B" w:rsidRDefault="001B0E8B" w:rsidP="001B0E8B">
      <w:pPr>
        <w:jc w:val="both"/>
        <w:rPr>
          <w:rFonts w:asciiTheme="majorHAnsi" w:hAnsiTheme="majorHAnsi"/>
        </w:rPr>
      </w:pPr>
    </w:p>
    <w:p w14:paraId="0F25A48D" w14:textId="77777777" w:rsidR="001B0E8B" w:rsidRDefault="001B0E8B" w:rsidP="007D1F9E">
      <w:pPr>
        <w:numPr>
          <w:ilvl w:val="0"/>
          <w:numId w:val="7"/>
        </w:numPr>
        <w:jc w:val="both"/>
        <w:rPr>
          <w:rFonts w:asciiTheme="majorHAnsi" w:hAnsiTheme="majorHAnsi"/>
        </w:rPr>
      </w:pPr>
      <w:r>
        <w:rPr>
          <w:rFonts w:asciiTheme="majorHAnsi" w:hAnsiTheme="majorHAnsi"/>
        </w:rPr>
        <w:t xml:space="preserve">Review of 2022-2023 Committee End of Year Report and Recommendations </w:t>
      </w:r>
    </w:p>
    <w:p w14:paraId="579A5EDB" w14:textId="3089F59E" w:rsidR="00ED71AF" w:rsidRDefault="00ED71AF" w:rsidP="00ED71AF">
      <w:pPr>
        <w:numPr>
          <w:ilvl w:val="1"/>
          <w:numId w:val="7"/>
        </w:numPr>
        <w:rPr>
          <w:rFonts w:asciiTheme="majorHAnsi" w:hAnsiTheme="majorHAnsi"/>
        </w:rPr>
      </w:pPr>
      <w:r>
        <w:rPr>
          <w:rFonts w:asciiTheme="majorHAnsi" w:hAnsiTheme="majorHAnsi"/>
        </w:rPr>
        <w:t>The chair shared the previous year’s EOY report to orient the committee on work completed last year and use to consider our work for this coming year.</w:t>
      </w:r>
    </w:p>
    <w:p w14:paraId="2488FE7B" w14:textId="0CFEF7F9" w:rsidR="00ED71AF" w:rsidRDefault="00ED71AF" w:rsidP="00ED71AF">
      <w:pPr>
        <w:numPr>
          <w:ilvl w:val="1"/>
          <w:numId w:val="7"/>
        </w:numPr>
        <w:rPr>
          <w:rFonts w:asciiTheme="majorHAnsi" w:hAnsiTheme="majorHAnsi"/>
        </w:rPr>
      </w:pPr>
      <w:r>
        <w:rPr>
          <w:rFonts w:asciiTheme="majorHAnsi" w:hAnsiTheme="majorHAnsi"/>
        </w:rPr>
        <w:lastRenderedPageBreak/>
        <w:t>Highlighted the regionals from last year and the recommendations to create more local F2F opportunities. Specifically connecting more with each region and collaborative events. The chair did note that the membership on this committee holds representations from all the various regions.</w:t>
      </w:r>
    </w:p>
    <w:p w14:paraId="2532C7A6" w14:textId="77777777" w:rsidR="00ED71AF" w:rsidRDefault="00ED71AF" w:rsidP="00ED71AF">
      <w:pPr>
        <w:ind w:left="1800"/>
        <w:rPr>
          <w:rFonts w:asciiTheme="majorHAnsi" w:hAnsiTheme="majorHAnsi"/>
        </w:rPr>
      </w:pPr>
    </w:p>
    <w:p w14:paraId="2414E544" w14:textId="26A47B94" w:rsidR="0090101A" w:rsidRDefault="00587C64" w:rsidP="007D1F9E">
      <w:pPr>
        <w:numPr>
          <w:ilvl w:val="0"/>
          <w:numId w:val="7"/>
        </w:numPr>
        <w:jc w:val="both"/>
        <w:rPr>
          <w:rFonts w:asciiTheme="majorHAnsi" w:hAnsiTheme="majorHAnsi"/>
        </w:rPr>
      </w:pPr>
      <w:r>
        <w:rPr>
          <w:rFonts w:asciiTheme="majorHAnsi" w:hAnsiTheme="majorHAnsi"/>
        </w:rPr>
        <w:t>ASCCC and Regional Consortium Collaboration</w:t>
      </w:r>
      <w:r w:rsidR="00C85A85">
        <w:rPr>
          <w:rFonts w:asciiTheme="majorHAnsi" w:hAnsiTheme="majorHAnsi"/>
        </w:rPr>
        <w:t xml:space="preserve"> </w:t>
      </w:r>
      <w:r w:rsidR="00E410A7">
        <w:rPr>
          <w:rFonts w:asciiTheme="majorHAnsi" w:hAnsiTheme="majorHAnsi"/>
        </w:rPr>
        <w:t xml:space="preserve">(Planning and </w:t>
      </w:r>
      <w:r w:rsidR="009E47A6">
        <w:rPr>
          <w:rFonts w:asciiTheme="majorHAnsi" w:hAnsiTheme="majorHAnsi"/>
        </w:rPr>
        <w:t>Participation</w:t>
      </w:r>
      <w:r w:rsidR="00E410A7">
        <w:rPr>
          <w:rFonts w:asciiTheme="majorHAnsi" w:hAnsiTheme="majorHAnsi"/>
        </w:rPr>
        <w:t xml:space="preserve">) </w:t>
      </w:r>
    </w:p>
    <w:p w14:paraId="3A7741C5" w14:textId="1DA77717" w:rsidR="00ED71AF" w:rsidRDefault="00ED71AF" w:rsidP="00ED71AF">
      <w:pPr>
        <w:numPr>
          <w:ilvl w:val="1"/>
          <w:numId w:val="7"/>
        </w:numPr>
        <w:rPr>
          <w:rFonts w:asciiTheme="majorHAnsi" w:hAnsiTheme="majorHAnsi"/>
        </w:rPr>
      </w:pPr>
      <w:r>
        <w:rPr>
          <w:rFonts w:asciiTheme="majorHAnsi" w:hAnsiTheme="majorHAnsi"/>
        </w:rPr>
        <w:t>The chair shared the status on the planning for the series of approved regional collaborations. The goal is to encourage more faculty input and participation.</w:t>
      </w:r>
    </w:p>
    <w:p w14:paraId="0BBCC796" w14:textId="77CE844F" w:rsidR="00ED71AF" w:rsidRDefault="00ED71AF" w:rsidP="00ED71AF">
      <w:pPr>
        <w:numPr>
          <w:ilvl w:val="1"/>
          <w:numId w:val="7"/>
        </w:numPr>
        <w:rPr>
          <w:rFonts w:asciiTheme="majorHAnsi" w:hAnsiTheme="majorHAnsi"/>
        </w:rPr>
      </w:pPr>
      <w:r>
        <w:rPr>
          <w:rFonts w:asciiTheme="majorHAnsi" w:hAnsiTheme="majorHAnsi"/>
        </w:rPr>
        <w:t>Actual and draft dates are below.</w:t>
      </w:r>
    </w:p>
    <w:p w14:paraId="24EC7030" w14:textId="7CBD2D5B" w:rsidR="00ED71AF" w:rsidRDefault="00ED71AF" w:rsidP="00ED71AF">
      <w:pPr>
        <w:numPr>
          <w:ilvl w:val="1"/>
          <w:numId w:val="7"/>
        </w:numPr>
        <w:rPr>
          <w:rFonts w:asciiTheme="majorHAnsi" w:hAnsiTheme="majorHAnsi"/>
        </w:rPr>
      </w:pPr>
      <w:r>
        <w:rPr>
          <w:rFonts w:asciiTheme="majorHAnsi" w:hAnsiTheme="majorHAnsi"/>
        </w:rPr>
        <w:t xml:space="preserve">These events are cohosted by ASCCC and the various regional consortiums. </w:t>
      </w:r>
    </w:p>
    <w:p w14:paraId="13560382" w14:textId="5597B9C2" w:rsidR="00ED71AF" w:rsidRDefault="00ED71AF" w:rsidP="00ED71AF">
      <w:pPr>
        <w:numPr>
          <w:ilvl w:val="1"/>
          <w:numId w:val="7"/>
        </w:numPr>
        <w:rPr>
          <w:rFonts w:asciiTheme="majorHAnsi" w:hAnsiTheme="majorHAnsi"/>
        </w:rPr>
      </w:pPr>
      <w:r>
        <w:rPr>
          <w:rFonts w:asciiTheme="majorHAnsi" w:hAnsiTheme="majorHAnsi"/>
        </w:rPr>
        <w:t xml:space="preserve">The chair shared the current planning that has been done for the first two regionals including draft agenda (menu of options) and </w:t>
      </w:r>
      <w:r w:rsidR="00C21CEF">
        <w:rPr>
          <w:rFonts w:asciiTheme="majorHAnsi" w:hAnsiTheme="majorHAnsi"/>
        </w:rPr>
        <w:t xml:space="preserve">logistics. </w:t>
      </w:r>
    </w:p>
    <w:p w14:paraId="73A0549C" w14:textId="0E510036" w:rsidR="00C21CEF" w:rsidRDefault="00C21CEF" w:rsidP="00ED71AF">
      <w:pPr>
        <w:numPr>
          <w:ilvl w:val="1"/>
          <w:numId w:val="7"/>
        </w:numPr>
        <w:rPr>
          <w:rFonts w:asciiTheme="majorHAnsi" w:hAnsiTheme="majorHAnsi"/>
        </w:rPr>
      </w:pPr>
      <w:r>
        <w:rPr>
          <w:rFonts w:asciiTheme="majorHAnsi" w:hAnsiTheme="majorHAnsi"/>
        </w:rPr>
        <w:t>CTELC members are encouraged to attend these events in their area. ASCCC is not able to support member travel to these events, but may check in with local college opportunities to support participation/attendance.</w:t>
      </w:r>
    </w:p>
    <w:p w14:paraId="0911BC5A" w14:textId="0BA4A8BE" w:rsidR="00C21CEF" w:rsidRDefault="00C21CEF" w:rsidP="00ED71AF">
      <w:pPr>
        <w:numPr>
          <w:ilvl w:val="1"/>
          <w:numId w:val="7"/>
        </w:numPr>
        <w:rPr>
          <w:rFonts w:asciiTheme="majorHAnsi" w:hAnsiTheme="majorHAnsi"/>
        </w:rPr>
      </w:pPr>
      <w:r>
        <w:rPr>
          <w:rFonts w:asciiTheme="majorHAnsi" w:hAnsiTheme="majorHAnsi"/>
        </w:rPr>
        <w:t xml:space="preserve">Communication about these events will be shared with various liaisons and other listservs. </w:t>
      </w:r>
    </w:p>
    <w:p w14:paraId="224E9FC7" w14:textId="4D2A4762" w:rsidR="00C21CEF" w:rsidRPr="007D1F9E" w:rsidRDefault="00C21CEF" w:rsidP="00ED71AF">
      <w:pPr>
        <w:numPr>
          <w:ilvl w:val="1"/>
          <w:numId w:val="7"/>
        </w:numPr>
        <w:rPr>
          <w:rFonts w:asciiTheme="majorHAnsi" w:hAnsiTheme="majorHAnsi"/>
        </w:rPr>
      </w:pPr>
      <w:r>
        <w:rPr>
          <w:rFonts w:asciiTheme="majorHAnsi" w:hAnsiTheme="majorHAnsi"/>
        </w:rPr>
        <w:t xml:space="preserve">The chair will also conduct direct communication to the local senates represented by various areas prior to the regional events. </w:t>
      </w:r>
    </w:p>
    <w:p w14:paraId="451C50B9" w14:textId="77777777" w:rsidR="00587C64" w:rsidRDefault="00587C64" w:rsidP="00587C64">
      <w:pPr>
        <w:ind w:left="1080"/>
        <w:jc w:val="both"/>
        <w:rPr>
          <w:rFonts w:asciiTheme="majorHAnsi" w:hAnsiTheme="majorHAnsi"/>
        </w:rPr>
      </w:pPr>
    </w:p>
    <w:p w14:paraId="438EE1B1" w14:textId="31953B9A" w:rsidR="00587C64" w:rsidRPr="00587C64" w:rsidRDefault="00587C64" w:rsidP="00587C64">
      <w:pPr>
        <w:ind w:left="1080"/>
        <w:jc w:val="both"/>
        <w:rPr>
          <w:rFonts w:asciiTheme="majorHAnsi" w:hAnsiTheme="majorHAnsi"/>
        </w:rPr>
      </w:pPr>
      <w:r w:rsidRPr="00587C64">
        <w:rPr>
          <w:rFonts w:asciiTheme="majorHAnsi" w:hAnsiTheme="majorHAnsi"/>
        </w:rPr>
        <w:t xml:space="preserve">Earlier this year the Exec Committee approved collaboration events with the Regional Consortium. The Exec Committee is being asked to approve the proposed collaboration dates. </w:t>
      </w:r>
    </w:p>
    <w:p w14:paraId="5B750A55" w14:textId="77777777" w:rsidR="00587C64" w:rsidRPr="00587C64" w:rsidRDefault="00587C64" w:rsidP="00587C64">
      <w:pPr>
        <w:ind w:left="1080"/>
        <w:jc w:val="both"/>
        <w:rPr>
          <w:rFonts w:asciiTheme="majorHAnsi" w:hAnsiTheme="majorHAnsi"/>
        </w:rPr>
      </w:pPr>
    </w:p>
    <w:p w14:paraId="17144A69" w14:textId="32266926" w:rsidR="00587C64" w:rsidRPr="00587C64" w:rsidRDefault="00587C64" w:rsidP="00587C64">
      <w:pPr>
        <w:ind w:left="1080"/>
        <w:jc w:val="both"/>
        <w:rPr>
          <w:rFonts w:asciiTheme="majorHAnsi" w:hAnsiTheme="majorHAnsi"/>
        </w:rPr>
      </w:pPr>
      <w:r w:rsidRPr="00587C64">
        <w:rPr>
          <w:rFonts w:asciiTheme="majorHAnsi" w:hAnsiTheme="majorHAnsi"/>
        </w:rPr>
        <w:t xml:space="preserve"> Eight CTE Collaborative Events with Regional Consortiums</w:t>
      </w:r>
    </w:p>
    <w:p w14:paraId="00776B8D" w14:textId="77777777" w:rsidR="00587C64" w:rsidRPr="00587C64" w:rsidRDefault="00587C64" w:rsidP="00587C64">
      <w:pPr>
        <w:ind w:left="1080"/>
        <w:jc w:val="both"/>
        <w:rPr>
          <w:rFonts w:asciiTheme="majorHAnsi" w:hAnsiTheme="majorHAnsi"/>
        </w:rPr>
      </w:pPr>
      <w:r w:rsidRPr="00587C64">
        <w:rPr>
          <w:rFonts w:asciiTheme="majorHAnsi" w:hAnsiTheme="majorHAnsi"/>
        </w:rPr>
        <w:t xml:space="preserve"> </w:t>
      </w:r>
    </w:p>
    <w:p w14:paraId="569223E2" w14:textId="585BB6D4" w:rsidR="00587C64" w:rsidRPr="00587C64" w:rsidRDefault="00587C64" w:rsidP="00C21CEF">
      <w:pPr>
        <w:pStyle w:val="ListParagraph"/>
        <w:numPr>
          <w:ilvl w:val="0"/>
          <w:numId w:val="22"/>
        </w:numPr>
        <w:jc w:val="both"/>
        <w:rPr>
          <w:rFonts w:asciiTheme="majorHAnsi" w:hAnsiTheme="majorHAnsi"/>
        </w:rPr>
      </w:pPr>
      <w:r w:rsidRPr="00587C64">
        <w:rPr>
          <w:rFonts w:asciiTheme="majorHAnsi" w:hAnsiTheme="majorHAnsi"/>
        </w:rPr>
        <w:t xml:space="preserve">Orange County 10-3 September 21,2023 (space up to 200) Minimum Qualifications) </w:t>
      </w:r>
    </w:p>
    <w:p w14:paraId="3F777D5D" w14:textId="5181D1FC" w:rsidR="00587C64" w:rsidRPr="00587C64" w:rsidRDefault="00587C64" w:rsidP="00C21CEF">
      <w:pPr>
        <w:pStyle w:val="ListParagraph"/>
        <w:numPr>
          <w:ilvl w:val="0"/>
          <w:numId w:val="22"/>
        </w:numPr>
        <w:jc w:val="both"/>
        <w:rPr>
          <w:rFonts w:asciiTheme="majorHAnsi" w:hAnsiTheme="majorHAnsi"/>
        </w:rPr>
      </w:pPr>
      <w:r w:rsidRPr="00587C64">
        <w:rPr>
          <w:rFonts w:asciiTheme="majorHAnsi" w:hAnsiTheme="majorHAnsi"/>
        </w:rPr>
        <w:t xml:space="preserve">South Central Coast October 6, 2023 </w:t>
      </w:r>
    </w:p>
    <w:p w14:paraId="3B4067C6" w14:textId="451528FD" w:rsidR="00587C64" w:rsidRPr="00587C64" w:rsidRDefault="00587C64" w:rsidP="00C21CEF">
      <w:pPr>
        <w:pStyle w:val="ListParagraph"/>
        <w:numPr>
          <w:ilvl w:val="0"/>
          <w:numId w:val="22"/>
        </w:numPr>
        <w:jc w:val="both"/>
        <w:rPr>
          <w:rFonts w:asciiTheme="majorHAnsi" w:hAnsiTheme="majorHAnsi"/>
        </w:rPr>
      </w:pPr>
      <w:r w:rsidRPr="00587C64">
        <w:rPr>
          <w:rFonts w:asciiTheme="majorHAnsi" w:hAnsiTheme="majorHAnsi"/>
        </w:rPr>
        <w:t xml:space="preserve">Inland Empire: February 9, 2024 10-3  </w:t>
      </w:r>
    </w:p>
    <w:p w14:paraId="3380AC8B" w14:textId="38E94FC9" w:rsidR="00587C64" w:rsidRPr="00587C64" w:rsidRDefault="00587C64" w:rsidP="00C21CEF">
      <w:pPr>
        <w:pStyle w:val="ListParagraph"/>
        <w:numPr>
          <w:ilvl w:val="0"/>
          <w:numId w:val="22"/>
        </w:numPr>
        <w:jc w:val="both"/>
        <w:rPr>
          <w:rFonts w:asciiTheme="majorHAnsi" w:hAnsiTheme="majorHAnsi"/>
        </w:rPr>
      </w:pPr>
      <w:r w:rsidRPr="00587C64">
        <w:rPr>
          <w:rFonts w:asciiTheme="majorHAnsi" w:hAnsiTheme="majorHAnsi"/>
        </w:rPr>
        <w:t xml:space="preserve">Central/Mother Lode: February 2nd </w:t>
      </w:r>
    </w:p>
    <w:p w14:paraId="5648334B" w14:textId="65537B1A" w:rsidR="00587C64" w:rsidRPr="0098538A" w:rsidRDefault="00587C64" w:rsidP="00C21CEF">
      <w:pPr>
        <w:pStyle w:val="ListParagraph"/>
        <w:numPr>
          <w:ilvl w:val="0"/>
          <w:numId w:val="22"/>
        </w:numPr>
        <w:rPr>
          <w:rFonts w:asciiTheme="majorHAnsi" w:hAnsiTheme="majorHAnsi"/>
        </w:rPr>
      </w:pPr>
      <w:r>
        <w:rPr>
          <w:rFonts w:asciiTheme="majorHAnsi" w:hAnsiTheme="majorHAnsi"/>
        </w:rPr>
        <w:t>North Far North (</w:t>
      </w:r>
      <w:r w:rsidRPr="00587C64">
        <w:rPr>
          <w:rFonts w:asciiTheme="majorHAnsi" w:hAnsiTheme="majorHAnsi"/>
        </w:rPr>
        <w:t>NFN</w:t>
      </w:r>
      <w:r>
        <w:rPr>
          <w:rFonts w:asciiTheme="majorHAnsi" w:hAnsiTheme="majorHAnsi"/>
        </w:rPr>
        <w:t>)</w:t>
      </w:r>
      <w:r w:rsidRPr="00587C64">
        <w:rPr>
          <w:rFonts w:asciiTheme="majorHAnsi" w:hAnsiTheme="majorHAnsi"/>
        </w:rPr>
        <w:t xml:space="preserve"> February 16th, 2024 from 10-3 </w:t>
      </w:r>
    </w:p>
    <w:p w14:paraId="3675D038" w14:textId="4EA680A4" w:rsidR="00587C64" w:rsidRPr="00587C64" w:rsidRDefault="00587C64" w:rsidP="00C21CEF">
      <w:pPr>
        <w:pStyle w:val="ListParagraph"/>
        <w:numPr>
          <w:ilvl w:val="0"/>
          <w:numId w:val="22"/>
        </w:numPr>
        <w:rPr>
          <w:rFonts w:asciiTheme="majorHAnsi" w:hAnsiTheme="majorHAnsi"/>
        </w:rPr>
      </w:pPr>
      <w:r w:rsidRPr="00587C64">
        <w:rPr>
          <w:rFonts w:asciiTheme="majorHAnsi" w:hAnsiTheme="majorHAnsi"/>
        </w:rPr>
        <w:t>S</w:t>
      </w:r>
      <w:r>
        <w:rPr>
          <w:rFonts w:asciiTheme="majorHAnsi" w:hAnsiTheme="majorHAnsi"/>
        </w:rPr>
        <w:t xml:space="preserve">an </w:t>
      </w:r>
      <w:r w:rsidRPr="00587C64">
        <w:rPr>
          <w:rFonts w:asciiTheme="majorHAnsi" w:hAnsiTheme="majorHAnsi"/>
        </w:rPr>
        <w:t>D</w:t>
      </w:r>
      <w:r>
        <w:rPr>
          <w:rFonts w:asciiTheme="majorHAnsi" w:hAnsiTheme="majorHAnsi"/>
        </w:rPr>
        <w:t>iego</w:t>
      </w:r>
      <w:r w:rsidRPr="00587C64">
        <w:rPr>
          <w:rFonts w:asciiTheme="majorHAnsi" w:hAnsiTheme="majorHAnsi"/>
        </w:rPr>
        <w:t xml:space="preserve">/Imperial March 8, 2024  </w:t>
      </w:r>
    </w:p>
    <w:p w14:paraId="071B06B9" w14:textId="510CA4CD" w:rsidR="00587C64" w:rsidRPr="00587C64" w:rsidRDefault="00587C64" w:rsidP="00C21CEF">
      <w:pPr>
        <w:pStyle w:val="ListParagraph"/>
        <w:numPr>
          <w:ilvl w:val="0"/>
          <w:numId w:val="22"/>
        </w:numPr>
        <w:rPr>
          <w:rFonts w:asciiTheme="majorHAnsi" w:hAnsiTheme="majorHAnsi"/>
        </w:rPr>
      </w:pPr>
      <w:r w:rsidRPr="00587C64">
        <w:rPr>
          <w:rFonts w:asciiTheme="majorHAnsi" w:hAnsiTheme="majorHAnsi"/>
        </w:rPr>
        <w:t xml:space="preserve">LA May 3, 2024 9-2 </w:t>
      </w:r>
    </w:p>
    <w:p w14:paraId="396613B6" w14:textId="6982074E" w:rsidR="00B60F72" w:rsidRDefault="00587C64" w:rsidP="00C21CEF">
      <w:pPr>
        <w:pStyle w:val="ListParagraph"/>
        <w:numPr>
          <w:ilvl w:val="0"/>
          <w:numId w:val="22"/>
        </w:numPr>
        <w:rPr>
          <w:rFonts w:asciiTheme="majorHAnsi" w:hAnsiTheme="majorHAnsi"/>
        </w:rPr>
      </w:pPr>
      <w:r w:rsidRPr="001B0E8B">
        <w:rPr>
          <w:rFonts w:asciiTheme="majorHAnsi" w:hAnsiTheme="majorHAnsi"/>
        </w:rPr>
        <w:t xml:space="preserve">Bay Area (BACCC) CTE Minimum Qualifications morning 1.5 hours : 10-3 May 10, 2024  </w:t>
      </w:r>
    </w:p>
    <w:p w14:paraId="3C5F21FD" w14:textId="77777777" w:rsidR="001B0E8B" w:rsidRPr="001B0E8B" w:rsidRDefault="001B0E8B" w:rsidP="001B0E8B">
      <w:pPr>
        <w:pStyle w:val="ListParagraph"/>
        <w:ind w:left="1800"/>
        <w:rPr>
          <w:rFonts w:asciiTheme="majorHAnsi" w:hAnsiTheme="majorHAnsi"/>
        </w:rPr>
      </w:pPr>
    </w:p>
    <w:p w14:paraId="1AC45EDC" w14:textId="0FDB06FB" w:rsidR="00B60F72" w:rsidRDefault="00587C64" w:rsidP="00200F64">
      <w:pPr>
        <w:numPr>
          <w:ilvl w:val="0"/>
          <w:numId w:val="7"/>
        </w:numPr>
        <w:jc w:val="both"/>
        <w:rPr>
          <w:rFonts w:asciiTheme="majorHAnsi" w:hAnsiTheme="majorHAnsi"/>
        </w:rPr>
      </w:pPr>
      <w:r>
        <w:rPr>
          <w:rFonts w:asciiTheme="majorHAnsi" w:hAnsiTheme="majorHAnsi"/>
        </w:rPr>
        <w:t xml:space="preserve">Proposed </w:t>
      </w:r>
      <w:r w:rsidR="001759D9">
        <w:rPr>
          <w:rFonts w:asciiTheme="majorHAnsi" w:hAnsiTheme="majorHAnsi"/>
        </w:rPr>
        <w:t>Resolutions Fall 202</w:t>
      </w:r>
      <w:r>
        <w:rPr>
          <w:rFonts w:asciiTheme="majorHAnsi" w:hAnsiTheme="majorHAnsi"/>
        </w:rPr>
        <w:t>3</w:t>
      </w:r>
    </w:p>
    <w:p w14:paraId="2BAC59D2" w14:textId="2E42A0F7" w:rsidR="00D630D3" w:rsidRDefault="00D630D3" w:rsidP="00D630D3">
      <w:pPr>
        <w:numPr>
          <w:ilvl w:val="1"/>
          <w:numId w:val="7"/>
        </w:numPr>
        <w:jc w:val="both"/>
        <w:rPr>
          <w:rFonts w:asciiTheme="majorHAnsi" w:hAnsiTheme="majorHAnsi"/>
        </w:rPr>
      </w:pPr>
      <w:r>
        <w:rPr>
          <w:rFonts w:asciiTheme="majorHAnsi" w:hAnsiTheme="majorHAnsi"/>
        </w:rPr>
        <w:t>The chair discussed our ASCCC resolution process and specifically how these resolutions direct our work as an organization and standing committees.</w:t>
      </w:r>
    </w:p>
    <w:p w14:paraId="429DC852" w14:textId="3A22B02B" w:rsidR="00D630D3" w:rsidRDefault="00D630D3" w:rsidP="00D630D3">
      <w:pPr>
        <w:numPr>
          <w:ilvl w:val="1"/>
          <w:numId w:val="7"/>
        </w:numPr>
        <w:jc w:val="both"/>
        <w:rPr>
          <w:rFonts w:asciiTheme="majorHAnsi" w:hAnsiTheme="majorHAnsi"/>
        </w:rPr>
      </w:pPr>
      <w:r>
        <w:rPr>
          <w:rFonts w:asciiTheme="majorHAnsi" w:hAnsiTheme="majorHAnsi"/>
        </w:rPr>
        <w:t>The committee was shown the resolution database and how to search for specific resolutions/topics for our committee.</w:t>
      </w:r>
    </w:p>
    <w:p w14:paraId="5C1C15D1" w14:textId="3E1D83F7" w:rsidR="00D630D3" w:rsidRDefault="00D630D3" w:rsidP="00D630D3">
      <w:pPr>
        <w:numPr>
          <w:ilvl w:val="1"/>
          <w:numId w:val="7"/>
        </w:numPr>
        <w:jc w:val="both"/>
        <w:rPr>
          <w:rFonts w:asciiTheme="majorHAnsi" w:hAnsiTheme="majorHAnsi"/>
        </w:rPr>
      </w:pPr>
      <w:r>
        <w:rPr>
          <w:rFonts w:asciiTheme="majorHAnsi" w:hAnsiTheme="majorHAnsi"/>
        </w:rPr>
        <w:t>The chair also shared the opportunity for our committee to draft and submit new resolutions for emerging needs as it relates to CTE work.</w:t>
      </w:r>
    </w:p>
    <w:p w14:paraId="60A77225" w14:textId="77777777" w:rsidR="0098538A" w:rsidRDefault="0098538A" w:rsidP="0098538A">
      <w:pPr>
        <w:ind w:left="1080"/>
        <w:jc w:val="both"/>
        <w:rPr>
          <w:rFonts w:asciiTheme="majorHAnsi" w:hAnsiTheme="majorHAnsi"/>
        </w:rPr>
      </w:pPr>
    </w:p>
    <w:p w14:paraId="3DA11A06" w14:textId="0197CCBA" w:rsidR="00587C64" w:rsidRDefault="00587C64" w:rsidP="00200F64">
      <w:pPr>
        <w:numPr>
          <w:ilvl w:val="0"/>
          <w:numId w:val="7"/>
        </w:numPr>
        <w:jc w:val="both"/>
        <w:rPr>
          <w:rFonts w:asciiTheme="majorHAnsi" w:hAnsiTheme="majorHAnsi"/>
        </w:rPr>
      </w:pPr>
      <w:r>
        <w:rPr>
          <w:rFonts w:asciiTheme="majorHAnsi" w:hAnsiTheme="majorHAnsi"/>
        </w:rPr>
        <w:t xml:space="preserve">Proposed Professional Learning </w:t>
      </w:r>
    </w:p>
    <w:p w14:paraId="4874BEF5" w14:textId="60440F28" w:rsidR="005711AC" w:rsidRDefault="005711AC" w:rsidP="005711AC">
      <w:pPr>
        <w:numPr>
          <w:ilvl w:val="1"/>
          <w:numId w:val="7"/>
        </w:numPr>
        <w:jc w:val="both"/>
        <w:rPr>
          <w:rFonts w:asciiTheme="majorHAnsi" w:hAnsiTheme="majorHAnsi"/>
        </w:rPr>
      </w:pPr>
      <w:r>
        <w:rPr>
          <w:rFonts w:asciiTheme="majorHAnsi" w:hAnsiTheme="majorHAnsi"/>
        </w:rPr>
        <w:t>Presented in various ways (e.g. Rostrum, webinars, events, sessions at Plenary/other institutes)</w:t>
      </w:r>
    </w:p>
    <w:p w14:paraId="443579C9" w14:textId="34D4DE86" w:rsidR="005711AC" w:rsidRDefault="005711AC" w:rsidP="002F2FBF">
      <w:pPr>
        <w:numPr>
          <w:ilvl w:val="1"/>
          <w:numId w:val="7"/>
        </w:numPr>
        <w:rPr>
          <w:rFonts w:asciiTheme="majorHAnsi" w:hAnsiTheme="majorHAnsi"/>
        </w:rPr>
      </w:pPr>
      <w:r>
        <w:rPr>
          <w:rFonts w:asciiTheme="majorHAnsi" w:hAnsiTheme="majorHAnsi"/>
        </w:rPr>
        <w:t xml:space="preserve">Topics below could be considered as professional learning as well as Rostrum articles. </w:t>
      </w:r>
    </w:p>
    <w:p w14:paraId="10DCFB85" w14:textId="19FDFD97" w:rsidR="002F2FBF" w:rsidRDefault="002F2FBF" w:rsidP="002F2FBF">
      <w:pPr>
        <w:numPr>
          <w:ilvl w:val="1"/>
          <w:numId w:val="7"/>
        </w:numPr>
        <w:rPr>
          <w:rFonts w:asciiTheme="majorHAnsi" w:hAnsiTheme="majorHAnsi"/>
        </w:rPr>
      </w:pPr>
      <w:r>
        <w:rPr>
          <w:rFonts w:asciiTheme="majorHAnsi" w:hAnsiTheme="majorHAnsi"/>
        </w:rPr>
        <w:t>Nontraditional and apprenticeship to demystify for faculty and resources to be highlighted with benefits/success for students, etc.</w:t>
      </w:r>
    </w:p>
    <w:p w14:paraId="56E91521" w14:textId="77777777" w:rsidR="00200F64" w:rsidRPr="00200F64" w:rsidRDefault="00200F64" w:rsidP="00200F64">
      <w:pPr>
        <w:ind w:left="1080"/>
        <w:jc w:val="both"/>
        <w:rPr>
          <w:rFonts w:asciiTheme="majorHAnsi" w:hAnsiTheme="majorHAnsi"/>
        </w:rPr>
      </w:pPr>
    </w:p>
    <w:p w14:paraId="450EB795" w14:textId="55107688" w:rsidR="00587C64" w:rsidRDefault="00587C64" w:rsidP="00412492">
      <w:pPr>
        <w:numPr>
          <w:ilvl w:val="0"/>
          <w:numId w:val="7"/>
        </w:numPr>
        <w:jc w:val="both"/>
        <w:rPr>
          <w:rFonts w:asciiTheme="majorHAnsi" w:hAnsiTheme="majorHAnsi"/>
        </w:rPr>
      </w:pPr>
      <w:r>
        <w:rPr>
          <w:rFonts w:asciiTheme="majorHAnsi" w:hAnsiTheme="majorHAnsi"/>
        </w:rPr>
        <w:t xml:space="preserve">Rostrum Brainstorming </w:t>
      </w:r>
    </w:p>
    <w:p w14:paraId="00165A07" w14:textId="77777777" w:rsidR="00D630D3" w:rsidRDefault="00D630D3" w:rsidP="00D630D3">
      <w:pPr>
        <w:pStyle w:val="ListParagraph"/>
        <w:rPr>
          <w:rFonts w:asciiTheme="majorHAnsi" w:hAnsiTheme="majorHAnsi"/>
        </w:rPr>
      </w:pPr>
    </w:p>
    <w:p w14:paraId="2EAEB9B0" w14:textId="28E3E239" w:rsidR="00D630D3" w:rsidRDefault="00D630D3" w:rsidP="005711AC">
      <w:pPr>
        <w:numPr>
          <w:ilvl w:val="1"/>
          <w:numId w:val="7"/>
        </w:numPr>
        <w:rPr>
          <w:rFonts w:asciiTheme="majorHAnsi" w:hAnsiTheme="majorHAnsi"/>
        </w:rPr>
      </w:pPr>
      <w:r>
        <w:rPr>
          <w:rFonts w:asciiTheme="majorHAnsi" w:hAnsiTheme="majorHAnsi"/>
        </w:rPr>
        <w:t>Possible topics from our committee for the Rostrum publications</w:t>
      </w:r>
      <w:r w:rsidR="005711AC">
        <w:rPr>
          <w:rFonts w:asciiTheme="majorHAnsi" w:hAnsiTheme="majorHAnsi"/>
        </w:rPr>
        <w:t xml:space="preserve"> initially shared</w:t>
      </w:r>
      <w:r>
        <w:rPr>
          <w:rFonts w:asciiTheme="majorHAnsi" w:hAnsiTheme="majorHAnsi"/>
        </w:rPr>
        <w:t xml:space="preserve">, such as </w:t>
      </w:r>
      <w:r w:rsidR="005711AC">
        <w:rPr>
          <w:rFonts w:asciiTheme="majorHAnsi" w:hAnsiTheme="majorHAnsi"/>
        </w:rPr>
        <w:t>gender in CTE or other CTE Hot Topics, nontraditional employment for women in these fields, highlighting outstanding CTE programs from each region, etc.</w:t>
      </w:r>
    </w:p>
    <w:p w14:paraId="11B46F44" w14:textId="77310761" w:rsidR="005711AC" w:rsidRDefault="005711AC" w:rsidP="005711AC">
      <w:pPr>
        <w:numPr>
          <w:ilvl w:val="1"/>
          <w:numId w:val="7"/>
        </w:numPr>
        <w:rPr>
          <w:rFonts w:asciiTheme="majorHAnsi" w:hAnsiTheme="majorHAnsi"/>
        </w:rPr>
      </w:pPr>
      <w:r>
        <w:rPr>
          <w:rFonts w:asciiTheme="majorHAnsi" w:hAnsiTheme="majorHAnsi"/>
        </w:rPr>
        <w:t>There are three deadlines for submissions this academic year. October 1</w:t>
      </w:r>
      <w:r w:rsidRPr="005711AC">
        <w:rPr>
          <w:rFonts w:asciiTheme="majorHAnsi" w:hAnsiTheme="majorHAnsi"/>
          <w:vertAlign w:val="superscript"/>
        </w:rPr>
        <w:t>st</w:t>
      </w:r>
      <w:r>
        <w:rPr>
          <w:rFonts w:asciiTheme="majorHAnsi" w:hAnsiTheme="majorHAnsi"/>
        </w:rPr>
        <w:t xml:space="preserve"> is the next upcoming deadline.</w:t>
      </w:r>
    </w:p>
    <w:p w14:paraId="13D38610" w14:textId="527EE27B" w:rsidR="005711AC" w:rsidRDefault="005711AC" w:rsidP="005711AC">
      <w:pPr>
        <w:numPr>
          <w:ilvl w:val="1"/>
          <w:numId w:val="7"/>
        </w:numPr>
        <w:rPr>
          <w:rFonts w:asciiTheme="majorHAnsi" w:hAnsiTheme="majorHAnsi"/>
        </w:rPr>
      </w:pPr>
      <w:r>
        <w:rPr>
          <w:rFonts w:asciiTheme="majorHAnsi" w:hAnsiTheme="majorHAnsi"/>
        </w:rPr>
        <w:t xml:space="preserve">Implementing new guidance around work experience, CBE (Competence Based Education), and CPL (Credit for Prior Learning) are also </w:t>
      </w:r>
      <w:r w:rsidR="002F2FBF">
        <w:rPr>
          <w:rFonts w:asciiTheme="majorHAnsi" w:hAnsiTheme="majorHAnsi"/>
        </w:rPr>
        <w:t>considerations.</w:t>
      </w:r>
    </w:p>
    <w:p w14:paraId="74056294" w14:textId="4EA4DF81" w:rsidR="005711AC" w:rsidRDefault="005711AC" w:rsidP="005711AC">
      <w:pPr>
        <w:numPr>
          <w:ilvl w:val="2"/>
          <w:numId w:val="7"/>
        </w:numPr>
        <w:rPr>
          <w:rFonts w:asciiTheme="majorHAnsi" w:hAnsiTheme="majorHAnsi"/>
        </w:rPr>
      </w:pPr>
      <w:r>
        <w:rPr>
          <w:rFonts w:asciiTheme="majorHAnsi" w:hAnsiTheme="majorHAnsi"/>
        </w:rPr>
        <w:t>Lynn shared the following definitions:</w:t>
      </w:r>
    </w:p>
    <w:p w14:paraId="5D5D2E1D" w14:textId="0ABF9058" w:rsidR="005711AC" w:rsidRPr="005711AC" w:rsidRDefault="005711AC" w:rsidP="005711AC">
      <w:pPr>
        <w:numPr>
          <w:ilvl w:val="3"/>
          <w:numId w:val="7"/>
        </w:numPr>
        <w:rPr>
          <w:rFonts w:asciiTheme="majorHAnsi" w:hAnsiTheme="majorHAnsi"/>
        </w:rPr>
      </w:pPr>
      <w:r w:rsidRPr="005711AC">
        <w:rPr>
          <w:rFonts w:asciiTheme="majorHAnsi" w:hAnsiTheme="majorHAnsi"/>
        </w:rPr>
        <w:t>CBE is a flexible approach to teaching and learning in which students earn certificates and degrees by demonstrating that they've mastered and can successfully apply the knowledge and skills required for a particular job or career. This approach has clear benefits to students, employers, and the state: •</w:t>
      </w:r>
    </w:p>
    <w:p w14:paraId="191B3187" w14:textId="5ABEF363" w:rsidR="005711AC" w:rsidRDefault="005711AC" w:rsidP="005711AC">
      <w:pPr>
        <w:numPr>
          <w:ilvl w:val="3"/>
          <w:numId w:val="7"/>
        </w:numPr>
        <w:rPr>
          <w:rFonts w:asciiTheme="majorHAnsi" w:hAnsiTheme="majorHAnsi"/>
        </w:rPr>
      </w:pPr>
      <w:r w:rsidRPr="005711AC">
        <w:rPr>
          <w:rFonts w:asciiTheme="majorHAnsi" w:hAnsiTheme="majorHAnsi"/>
        </w:rPr>
        <w:t>Credit for Prior Learning: To accommodate the realities of the working world, the California Community Colleges provide credit for prior learning to students who have gained skills and knowledge outside the classroom. Credit for prior learning gives students a jumpstart on completing their degree and entering the workforce, with some students saving an average of 6 to 10 months.</w:t>
      </w:r>
    </w:p>
    <w:p w14:paraId="60A5A765" w14:textId="77777777" w:rsidR="00587C64" w:rsidRPr="005711AC" w:rsidRDefault="00587C64" w:rsidP="005711AC">
      <w:pPr>
        <w:rPr>
          <w:rFonts w:asciiTheme="majorHAnsi" w:hAnsiTheme="majorHAnsi"/>
        </w:rPr>
      </w:pPr>
    </w:p>
    <w:p w14:paraId="32078D95" w14:textId="77777777" w:rsidR="005711AC" w:rsidRDefault="00BC6A8D" w:rsidP="00412492">
      <w:pPr>
        <w:numPr>
          <w:ilvl w:val="0"/>
          <w:numId w:val="7"/>
        </w:numPr>
        <w:jc w:val="both"/>
        <w:rPr>
          <w:rFonts w:asciiTheme="majorHAnsi" w:hAnsiTheme="majorHAnsi"/>
        </w:rPr>
      </w:pPr>
      <w:r>
        <w:rPr>
          <w:rFonts w:asciiTheme="majorHAnsi" w:hAnsiTheme="majorHAnsi"/>
        </w:rPr>
        <w:t>Future Meetings</w:t>
      </w:r>
    </w:p>
    <w:p w14:paraId="670A7FF8" w14:textId="195EAC82" w:rsidR="00BC6A8D" w:rsidRDefault="005711AC" w:rsidP="005711AC">
      <w:pPr>
        <w:numPr>
          <w:ilvl w:val="1"/>
          <w:numId w:val="7"/>
        </w:numPr>
        <w:jc w:val="both"/>
        <w:rPr>
          <w:rFonts w:asciiTheme="majorHAnsi" w:hAnsiTheme="majorHAnsi"/>
        </w:rPr>
      </w:pPr>
      <w:r>
        <w:rPr>
          <w:rFonts w:asciiTheme="majorHAnsi" w:hAnsiTheme="majorHAnsi"/>
        </w:rPr>
        <w:t xml:space="preserve">We will set a </w:t>
      </w:r>
      <w:r w:rsidR="002F2FBF">
        <w:rPr>
          <w:rFonts w:asciiTheme="majorHAnsi" w:hAnsiTheme="majorHAnsi"/>
        </w:rPr>
        <w:t xml:space="preserve">next </w:t>
      </w:r>
      <w:r>
        <w:rPr>
          <w:rFonts w:asciiTheme="majorHAnsi" w:hAnsiTheme="majorHAnsi"/>
        </w:rPr>
        <w:t>meeting</w:t>
      </w:r>
      <w:r w:rsidR="00BC6A8D">
        <w:rPr>
          <w:rFonts w:asciiTheme="majorHAnsi" w:hAnsiTheme="majorHAnsi"/>
        </w:rPr>
        <w:t xml:space="preserve"> </w:t>
      </w:r>
      <w:r w:rsidR="002F2FBF">
        <w:rPr>
          <w:rFonts w:asciiTheme="majorHAnsi" w:hAnsiTheme="majorHAnsi"/>
        </w:rPr>
        <w:t>for later in September. The chair will send out another doodle poll to set a meeting.</w:t>
      </w:r>
    </w:p>
    <w:p w14:paraId="7EC31382" w14:textId="77777777" w:rsidR="00755930" w:rsidRDefault="00755930" w:rsidP="00755930">
      <w:pPr>
        <w:pStyle w:val="ListParagraph"/>
        <w:rPr>
          <w:rFonts w:asciiTheme="majorHAnsi" w:hAnsiTheme="majorHAnsi"/>
        </w:rPr>
      </w:pPr>
    </w:p>
    <w:p w14:paraId="0CEC509A" w14:textId="77777777" w:rsidR="005711AC" w:rsidRDefault="00755930" w:rsidP="00412492">
      <w:pPr>
        <w:numPr>
          <w:ilvl w:val="0"/>
          <w:numId w:val="7"/>
        </w:numPr>
        <w:jc w:val="both"/>
        <w:rPr>
          <w:rFonts w:asciiTheme="majorHAnsi" w:hAnsiTheme="majorHAnsi"/>
        </w:rPr>
      </w:pPr>
      <w:r>
        <w:rPr>
          <w:rFonts w:asciiTheme="majorHAnsi" w:hAnsiTheme="majorHAnsi"/>
        </w:rPr>
        <w:t>Upcoming Events</w:t>
      </w:r>
    </w:p>
    <w:p w14:paraId="60DCEA4D" w14:textId="77777777" w:rsidR="005711AC" w:rsidRDefault="005711AC" w:rsidP="005711AC">
      <w:pPr>
        <w:pStyle w:val="ListParagraph"/>
        <w:rPr>
          <w:rFonts w:asciiTheme="majorHAnsi" w:hAnsiTheme="majorHAnsi"/>
        </w:rPr>
      </w:pPr>
    </w:p>
    <w:p w14:paraId="66F5CCEA" w14:textId="02F6A1BF" w:rsidR="00755930" w:rsidRDefault="005711AC" w:rsidP="005711AC">
      <w:pPr>
        <w:numPr>
          <w:ilvl w:val="1"/>
          <w:numId w:val="7"/>
        </w:numPr>
        <w:jc w:val="both"/>
        <w:rPr>
          <w:rFonts w:asciiTheme="majorHAnsi" w:hAnsiTheme="majorHAnsi"/>
        </w:rPr>
      </w:pPr>
      <w:r>
        <w:rPr>
          <w:rFonts w:asciiTheme="majorHAnsi" w:hAnsiTheme="majorHAnsi"/>
        </w:rPr>
        <w:t xml:space="preserve">The following </w:t>
      </w:r>
      <w:r w:rsidR="002F2FBF">
        <w:rPr>
          <w:rFonts w:asciiTheme="majorHAnsi" w:hAnsiTheme="majorHAnsi"/>
        </w:rPr>
        <w:t xml:space="preserve">upcoming </w:t>
      </w:r>
      <w:r>
        <w:rPr>
          <w:rFonts w:asciiTheme="majorHAnsi" w:hAnsiTheme="majorHAnsi"/>
        </w:rPr>
        <w:t xml:space="preserve">ASCCC events were shared. </w:t>
      </w:r>
      <w:r w:rsidR="00755930">
        <w:rPr>
          <w:rFonts w:asciiTheme="majorHAnsi" w:hAnsiTheme="majorHAnsi"/>
        </w:rPr>
        <w:t xml:space="preserve"> </w:t>
      </w:r>
    </w:p>
    <w:p w14:paraId="3B8F2485" w14:textId="77777777" w:rsidR="00755930" w:rsidRDefault="00755930" w:rsidP="00755930">
      <w:pPr>
        <w:pStyle w:val="ListParagraph"/>
        <w:rPr>
          <w:rFonts w:asciiTheme="majorHAnsi" w:hAnsiTheme="majorHAnsi"/>
        </w:rPr>
      </w:pPr>
    </w:p>
    <w:tbl>
      <w:tblPr>
        <w:tblStyle w:val="TableGrid"/>
        <w:tblW w:w="0" w:type="auto"/>
        <w:tblInd w:w="1080" w:type="dxa"/>
        <w:tblLook w:val="04A0" w:firstRow="1" w:lastRow="0" w:firstColumn="1" w:lastColumn="0" w:noHBand="0" w:noVBand="1"/>
      </w:tblPr>
      <w:tblGrid>
        <w:gridCol w:w="5035"/>
        <w:gridCol w:w="3510"/>
      </w:tblGrid>
      <w:tr w:rsidR="00755930" w14:paraId="2DF9EDDF" w14:textId="77777777" w:rsidTr="002F2FBF">
        <w:tc>
          <w:tcPr>
            <w:tcW w:w="5035" w:type="dxa"/>
          </w:tcPr>
          <w:p w14:paraId="038A02C7" w14:textId="5249C679" w:rsidR="00755930" w:rsidRDefault="00C0230B" w:rsidP="00755930">
            <w:pPr>
              <w:jc w:val="both"/>
              <w:rPr>
                <w:rFonts w:asciiTheme="majorHAnsi" w:hAnsiTheme="majorHAnsi"/>
              </w:rPr>
            </w:pPr>
            <w:hyperlink r:id="rId8" w:history="1">
              <w:r w:rsidR="00755930" w:rsidRPr="00755930">
                <w:rPr>
                  <w:rStyle w:val="Hyperlink"/>
                  <w:rFonts w:asciiTheme="majorHAnsi" w:hAnsiTheme="majorHAnsi"/>
                </w:rPr>
                <w:t>2023 Accreditation Institute</w:t>
              </w:r>
            </w:hyperlink>
            <w:r w:rsidR="00755930">
              <w:rPr>
                <w:rFonts w:asciiTheme="majorHAnsi" w:hAnsiTheme="majorHAnsi"/>
              </w:rPr>
              <w:t xml:space="preserve"> </w:t>
            </w:r>
          </w:p>
        </w:tc>
        <w:tc>
          <w:tcPr>
            <w:tcW w:w="3510" w:type="dxa"/>
          </w:tcPr>
          <w:p w14:paraId="60992C5C" w14:textId="20530A35" w:rsidR="00755930" w:rsidRDefault="00755930" w:rsidP="00755930">
            <w:pPr>
              <w:jc w:val="both"/>
              <w:rPr>
                <w:rFonts w:asciiTheme="majorHAnsi" w:hAnsiTheme="majorHAnsi"/>
              </w:rPr>
            </w:pPr>
            <w:r>
              <w:rPr>
                <w:rFonts w:asciiTheme="majorHAnsi" w:hAnsiTheme="majorHAnsi"/>
              </w:rPr>
              <w:t xml:space="preserve">September 29-30, 2023 </w:t>
            </w:r>
          </w:p>
        </w:tc>
      </w:tr>
      <w:tr w:rsidR="00755930" w14:paraId="5DC219D0" w14:textId="77777777" w:rsidTr="002F2FBF">
        <w:tc>
          <w:tcPr>
            <w:tcW w:w="5035" w:type="dxa"/>
          </w:tcPr>
          <w:p w14:paraId="69E9011A" w14:textId="7DE7FFF0" w:rsidR="00755930" w:rsidRDefault="00C0230B" w:rsidP="00755930">
            <w:pPr>
              <w:jc w:val="both"/>
              <w:rPr>
                <w:rFonts w:asciiTheme="majorHAnsi" w:hAnsiTheme="majorHAnsi"/>
              </w:rPr>
            </w:pPr>
            <w:hyperlink r:id="rId9" w:history="1">
              <w:r w:rsidR="00755930" w:rsidRPr="00755930">
                <w:rPr>
                  <w:rStyle w:val="Hyperlink"/>
                  <w:rFonts w:asciiTheme="majorHAnsi" w:hAnsiTheme="majorHAnsi"/>
                </w:rPr>
                <w:t>Central Coast Regional Collaborative Event</w:t>
              </w:r>
            </w:hyperlink>
            <w:r w:rsidR="00755930">
              <w:rPr>
                <w:rFonts w:asciiTheme="majorHAnsi" w:hAnsiTheme="majorHAnsi"/>
              </w:rPr>
              <w:t xml:space="preserve"> </w:t>
            </w:r>
          </w:p>
        </w:tc>
        <w:tc>
          <w:tcPr>
            <w:tcW w:w="3510" w:type="dxa"/>
          </w:tcPr>
          <w:p w14:paraId="2ADC3AA2" w14:textId="6BFE8575" w:rsidR="00755930" w:rsidRDefault="00755930" w:rsidP="00755930">
            <w:pPr>
              <w:jc w:val="both"/>
              <w:rPr>
                <w:rFonts w:asciiTheme="majorHAnsi" w:hAnsiTheme="majorHAnsi"/>
              </w:rPr>
            </w:pPr>
            <w:r>
              <w:rPr>
                <w:rFonts w:asciiTheme="majorHAnsi" w:hAnsiTheme="majorHAnsi"/>
              </w:rPr>
              <w:t xml:space="preserve">October 6, 2023 </w:t>
            </w:r>
          </w:p>
        </w:tc>
      </w:tr>
      <w:tr w:rsidR="00755930" w14:paraId="38BDFB3A" w14:textId="77777777" w:rsidTr="002F2FBF">
        <w:tc>
          <w:tcPr>
            <w:tcW w:w="5035" w:type="dxa"/>
          </w:tcPr>
          <w:p w14:paraId="3D255AFC" w14:textId="77F6443D" w:rsidR="00755930" w:rsidRDefault="00C0230B" w:rsidP="00755930">
            <w:pPr>
              <w:jc w:val="both"/>
              <w:rPr>
                <w:rFonts w:asciiTheme="majorHAnsi" w:hAnsiTheme="majorHAnsi"/>
              </w:rPr>
            </w:pPr>
            <w:hyperlink r:id="rId10" w:history="1">
              <w:r w:rsidR="00755930" w:rsidRPr="00755930">
                <w:rPr>
                  <w:rStyle w:val="Hyperlink"/>
                  <w:rFonts w:asciiTheme="majorHAnsi" w:hAnsiTheme="majorHAnsi"/>
                </w:rPr>
                <w:t>Inland Empire Regional Collaborative Event</w:t>
              </w:r>
            </w:hyperlink>
            <w:r w:rsidR="00755930">
              <w:rPr>
                <w:rFonts w:asciiTheme="majorHAnsi" w:hAnsiTheme="majorHAnsi"/>
              </w:rPr>
              <w:t xml:space="preserve"> </w:t>
            </w:r>
          </w:p>
        </w:tc>
        <w:tc>
          <w:tcPr>
            <w:tcW w:w="3510" w:type="dxa"/>
          </w:tcPr>
          <w:p w14:paraId="5D203C81" w14:textId="47EF1474" w:rsidR="00755930" w:rsidRPr="002F2FBF" w:rsidRDefault="00755930" w:rsidP="00755930">
            <w:pPr>
              <w:jc w:val="both"/>
              <w:rPr>
                <w:rFonts w:asciiTheme="majorHAnsi" w:hAnsiTheme="majorHAnsi"/>
              </w:rPr>
            </w:pPr>
            <w:r w:rsidRPr="002F2FBF">
              <w:rPr>
                <w:rFonts w:asciiTheme="majorHAnsi" w:hAnsiTheme="majorHAnsi"/>
                <w:strike/>
              </w:rPr>
              <w:t xml:space="preserve">October 13, 2023 </w:t>
            </w:r>
            <w:r w:rsidR="002F2FBF">
              <w:rPr>
                <w:rFonts w:asciiTheme="majorHAnsi" w:hAnsiTheme="majorHAnsi"/>
              </w:rPr>
              <w:t xml:space="preserve"> will be in Feb.</w:t>
            </w:r>
          </w:p>
        </w:tc>
      </w:tr>
      <w:tr w:rsidR="00755930" w14:paraId="06EB277A" w14:textId="77777777" w:rsidTr="002F2FBF">
        <w:tc>
          <w:tcPr>
            <w:tcW w:w="5035" w:type="dxa"/>
          </w:tcPr>
          <w:p w14:paraId="403DA9FB" w14:textId="28DDB6B2" w:rsidR="00755930" w:rsidRDefault="00C0230B" w:rsidP="00755930">
            <w:pPr>
              <w:jc w:val="both"/>
              <w:rPr>
                <w:rFonts w:asciiTheme="majorHAnsi" w:hAnsiTheme="majorHAnsi"/>
              </w:rPr>
            </w:pPr>
            <w:hyperlink r:id="rId11" w:history="1">
              <w:r w:rsidR="00755930" w:rsidRPr="00755930">
                <w:rPr>
                  <w:rStyle w:val="Hyperlink"/>
                  <w:rFonts w:asciiTheme="majorHAnsi" w:hAnsiTheme="majorHAnsi"/>
                </w:rPr>
                <w:t>Fall 2023 Plenary</w:t>
              </w:r>
            </w:hyperlink>
            <w:r w:rsidR="00755930">
              <w:rPr>
                <w:rFonts w:asciiTheme="majorHAnsi" w:hAnsiTheme="majorHAnsi"/>
              </w:rPr>
              <w:t xml:space="preserve"> </w:t>
            </w:r>
          </w:p>
        </w:tc>
        <w:tc>
          <w:tcPr>
            <w:tcW w:w="3510" w:type="dxa"/>
          </w:tcPr>
          <w:p w14:paraId="18AED9ED" w14:textId="2AEF8791" w:rsidR="00755930" w:rsidRDefault="00755930" w:rsidP="00755930">
            <w:pPr>
              <w:jc w:val="both"/>
              <w:rPr>
                <w:rFonts w:asciiTheme="majorHAnsi" w:hAnsiTheme="majorHAnsi"/>
              </w:rPr>
            </w:pPr>
            <w:r>
              <w:rPr>
                <w:rFonts w:asciiTheme="majorHAnsi" w:hAnsiTheme="majorHAnsi"/>
              </w:rPr>
              <w:t xml:space="preserve">November 16-18, 2023 </w:t>
            </w:r>
          </w:p>
        </w:tc>
      </w:tr>
    </w:tbl>
    <w:p w14:paraId="5977CCA5" w14:textId="6F374530" w:rsidR="00EA7D8F" w:rsidRPr="00B07F66" w:rsidRDefault="00EA7D8F" w:rsidP="00B07F66">
      <w:pPr>
        <w:rPr>
          <w:rFonts w:asciiTheme="majorHAnsi" w:hAnsiTheme="majorHAnsi"/>
        </w:rPr>
      </w:pPr>
    </w:p>
    <w:p w14:paraId="462A4566" w14:textId="09E1B071" w:rsidR="00916CEA" w:rsidRDefault="0080639A" w:rsidP="00B92E73">
      <w:pPr>
        <w:numPr>
          <w:ilvl w:val="0"/>
          <w:numId w:val="7"/>
        </w:numPr>
        <w:rPr>
          <w:rFonts w:asciiTheme="majorHAnsi" w:hAnsiTheme="majorHAnsi"/>
        </w:rPr>
      </w:pPr>
      <w:r w:rsidRPr="0045174E">
        <w:rPr>
          <w:rFonts w:asciiTheme="majorHAnsi" w:hAnsiTheme="majorHAnsi"/>
        </w:rPr>
        <w:t>Adjournment</w:t>
      </w:r>
    </w:p>
    <w:p w14:paraId="2BEADFC5" w14:textId="2248266F" w:rsidR="002F2FBF" w:rsidRDefault="002F2FBF" w:rsidP="002F2FBF">
      <w:pPr>
        <w:numPr>
          <w:ilvl w:val="1"/>
          <w:numId w:val="7"/>
        </w:numPr>
        <w:rPr>
          <w:rFonts w:asciiTheme="majorHAnsi" w:hAnsiTheme="majorHAnsi"/>
        </w:rPr>
      </w:pPr>
      <w:r>
        <w:rPr>
          <w:rFonts w:asciiTheme="majorHAnsi" w:hAnsiTheme="majorHAnsi"/>
        </w:rPr>
        <w:t>The chair shared that we will be using the end section of our agendas to keep track of our work.</w:t>
      </w:r>
    </w:p>
    <w:p w14:paraId="146FA119" w14:textId="2C9CF978" w:rsidR="002F2FBF" w:rsidRPr="008126A3" w:rsidRDefault="002F2FBF" w:rsidP="002F2FBF">
      <w:pPr>
        <w:numPr>
          <w:ilvl w:val="1"/>
          <w:numId w:val="7"/>
        </w:numPr>
        <w:rPr>
          <w:rFonts w:asciiTheme="majorHAnsi" w:hAnsiTheme="majorHAnsi"/>
        </w:rPr>
      </w:pPr>
      <w:r>
        <w:rPr>
          <w:rFonts w:asciiTheme="majorHAnsi" w:hAnsiTheme="majorHAnsi"/>
        </w:rPr>
        <w:t>It is recommended to set up a google drive/file to store committee documents. The chair will follow up. Meeting adjourned at 1:03pm</w:t>
      </w:r>
    </w:p>
    <w:p w14:paraId="6C1F1286" w14:textId="77777777" w:rsidR="008126A3" w:rsidRPr="00B92E73" w:rsidRDefault="008126A3" w:rsidP="008126A3">
      <w:pPr>
        <w:ind w:left="1080"/>
        <w:rPr>
          <w:rFonts w:asciiTheme="majorHAnsi" w:hAnsiTheme="majorHAnsi"/>
        </w:rPr>
      </w:pPr>
    </w:p>
    <w:p w14:paraId="65A6AC3B" w14:textId="77777777" w:rsidR="00916CEA" w:rsidRPr="00B07F66" w:rsidRDefault="00916CEA" w:rsidP="00BA6046">
      <w:pPr>
        <w:rPr>
          <w:rFonts w:asciiTheme="majorHAnsi" w:hAnsiTheme="majorHAnsi"/>
        </w:rPr>
      </w:pPr>
    </w:p>
    <w:p w14:paraId="461703A7" w14:textId="7AA6FA0D" w:rsidR="004B62D3" w:rsidRPr="00CD1C6C" w:rsidRDefault="005D5088" w:rsidP="002B186E">
      <w:pPr>
        <w:jc w:val="center"/>
        <w:rPr>
          <w:rFonts w:asciiTheme="majorHAnsi" w:hAnsiTheme="majorHAnsi" w:cstheme="majorHAnsi"/>
          <w:b/>
        </w:rPr>
      </w:pPr>
      <w:r w:rsidRPr="00CD1C6C">
        <w:rPr>
          <w:rFonts w:asciiTheme="majorHAnsi" w:hAnsiTheme="majorHAnsi" w:cstheme="majorHAnsi"/>
          <w:b/>
        </w:rPr>
        <w:t>Status of Previous Action Items</w:t>
      </w:r>
    </w:p>
    <w:p w14:paraId="28A89397" w14:textId="77777777" w:rsidR="00F720A3" w:rsidRPr="00CD1C6C" w:rsidRDefault="00F720A3" w:rsidP="002B186E">
      <w:pPr>
        <w:jc w:val="center"/>
        <w:rPr>
          <w:rFonts w:asciiTheme="majorHAnsi" w:hAnsiTheme="majorHAnsi" w:cstheme="majorHAnsi"/>
          <w:b/>
        </w:rPr>
      </w:pPr>
    </w:p>
    <w:p w14:paraId="11C774E4" w14:textId="2E61FBD0" w:rsidR="00256648" w:rsidRPr="00C85A85" w:rsidRDefault="004B62D3" w:rsidP="00256648">
      <w:pPr>
        <w:pStyle w:val="ListParagraph"/>
        <w:numPr>
          <w:ilvl w:val="0"/>
          <w:numId w:val="10"/>
        </w:numPr>
        <w:rPr>
          <w:rFonts w:asciiTheme="majorHAnsi" w:hAnsiTheme="majorHAnsi" w:cstheme="majorHAnsi"/>
          <w:b/>
        </w:rPr>
      </w:pPr>
      <w:r w:rsidRPr="00CD1C6C">
        <w:rPr>
          <w:rFonts w:asciiTheme="majorHAnsi" w:hAnsiTheme="majorHAnsi" w:cstheme="majorHAnsi"/>
          <w:b/>
        </w:rPr>
        <w:t>In Progress</w:t>
      </w:r>
      <w:r w:rsidR="00F720A3" w:rsidRPr="00CD1C6C">
        <w:rPr>
          <w:rFonts w:asciiTheme="majorHAnsi" w:hAnsiTheme="majorHAnsi" w:cstheme="majorHAnsi"/>
          <w:b/>
        </w:rPr>
        <w:t xml:space="preserve"> </w:t>
      </w:r>
      <w:r w:rsidR="00F720A3" w:rsidRPr="00CD1C6C">
        <w:rPr>
          <w:rFonts w:asciiTheme="majorHAnsi" w:hAnsiTheme="majorHAnsi" w:cstheme="majorHAnsi"/>
        </w:rPr>
        <w:t xml:space="preserve">(include details about pending items such as resolutions, papers, </w:t>
      </w:r>
      <w:r w:rsidR="00F720A3" w:rsidRPr="00CD1C6C">
        <w:rPr>
          <w:rFonts w:asciiTheme="majorHAnsi" w:hAnsiTheme="majorHAnsi" w:cstheme="majorHAnsi"/>
          <w:i/>
        </w:rPr>
        <w:t>Rostrums</w:t>
      </w:r>
      <w:r w:rsidR="00F720A3" w:rsidRPr="00CD1C6C">
        <w:rPr>
          <w:rFonts w:asciiTheme="majorHAnsi" w:hAnsiTheme="majorHAnsi" w:cstheme="majorHAnsi"/>
        </w:rPr>
        <w:t>, etc.)</w:t>
      </w:r>
    </w:p>
    <w:p w14:paraId="3D114F35" w14:textId="77777777" w:rsidR="00C85A85" w:rsidRPr="00587C64" w:rsidRDefault="00C85A85" w:rsidP="00587C64">
      <w:pPr>
        <w:rPr>
          <w:rFonts w:asciiTheme="majorHAnsi" w:hAnsiTheme="majorHAnsi" w:cstheme="majorHAnsi"/>
        </w:rPr>
      </w:pPr>
    </w:p>
    <w:p w14:paraId="1935B993" w14:textId="77777777" w:rsidR="00D66C18" w:rsidRPr="00CD1C6C" w:rsidRDefault="00D66C18" w:rsidP="00DE318E">
      <w:pPr>
        <w:ind w:left="720"/>
        <w:rPr>
          <w:rFonts w:asciiTheme="majorHAnsi" w:hAnsiTheme="majorHAnsi" w:cstheme="majorHAnsi"/>
        </w:rPr>
      </w:pPr>
    </w:p>
    <w:p w14:paraId="755CDED5" w14:textId="5D86D99F" w:rsidR="004B62D3" w:rsidRPr="00CD1C6C" w:rsidRDefault="004B62D3" w:rsidP="00BB64DB">
      <w:pPr>
        <w:pStyle w:val="ListParagraph"/>
        <w:numPr>
          <w:ilvl w:val="0"/>
          <w:numId w:val="10"/>
        </w:numPr>
        <w:rPr>
          <w:rFonts w:asciiTheme="majorHAnsi" w:hAnsiTheme="majorHAnsi" w:cstheme="majorHAnsi"/>
          <w:b/>
        </w:rPr>
      </w:pPr>
      <w:r w:rsidRPr="00CD1C6C">
        <w:rPr>
          <w:rFonts w:asciiTheme="majorHAnsi" w:hAnsiTheme="majorHAnsi" w:cstheme="majorHAnsi"/>
          <w:b/>
        </w:rPr>
        <w:t xml:space="preserve">Completed </w:t>
      </w:r>
      <w:r w:rsidR="00F720A3" w:rsidRPr="00CD1C6C">
        <w:rPr>
          <w:rFonts w:asciiTheme="majorHAnsi" w:hAnsiTheme="majorHAnsi" w:cstheme="majorHAnsi"/>
        </w:rPr>
        <w:t xml:space="preserve">(include a list of those items that have been completed as a way to build the end of year report). </w:t>
      </w:r>
    </w:p>
    <w:p w14:paraId="298DBFC2" w14:textId="799ED072" w:rsidR="00563062" w:rsidRPr="00563062" w:rsidRDefault="00563062" w:rsidP="00563062">
      <w:pPr>
        <w:rPr>
          <w:rFonts w:asciiTheme="majorHAnsi" w:hAnsiTheme="majorHAnsi" w:cstheme="majorHAnsi"/>
        </w:rPr>
      </w:pPr>
    </w:p>
    <w:p w14:paraId="5D5BAB01" w14:textId="0A9155BD" w:rsidR="00DE318E" w:rsidRPr="00CD1C6C" w:rsidRDefault="00DE318E" w:rsidP="00DE318E">
      <w:pPr>
        <w:pStyle w:val="ListParagraph"/>
        <w:rPr>
          <w:rFonts w:asciiTheme="majorHAnsi" w:hAnsiTheme="majorHAnsi" w:cstheme="majorHAnsi"/>
        </w:rPr>
      </w:pPr>
    </w:p>
    <w:p w14:paraId="0492F7A0" w14:textId="6CE4FD10" w:rsidR="00916CEA" w:rsidRPr="00916CEA" w:rsidRDefault="00916CEA" w:rsidP="00916CEA">
      <w:pPr>
        <w:rPr>
          <w:rFonts w:asciiTheme="majorHAnsi" w:hAnsiTheme="majorHAnsi"/>
        </w:rPr>
      </w:pPr>
    </w:p>
    <w:p w14:paraId="75659E77" w14:textId="77777777" w:rsidR="00DE318E" w:rsidRPr="00DE318E" w:rsidRDefault="00DE318E" w:rsidP="00DE318E">
      <w:pPr>
        <w:rPr>
          <w:rFonts w:asciiTheme="majorHAnsi" w:hAnsiTheme="majorHAnsi"/>
          <w:b/>
        </w:rPr>
      </w:pPr>
    </w:p>
    <w:p w14:paraId="2574E230" w14:textId="77777777" w:rsidR="004B62D3" w:rsidRPr="00754CDF" w:rsidRDefault="004B62D3" w:rsidP="00754CDF">
      <w:pPr>
        <w:rPr>
          <w:rFonts w:asciiTheme="majorHAnsi" w:hAnsiTheme="majorHAnsi"/>
          <w:b/>
          <w:color w:val="000000" w:themeColor="text1"/>
        </w:rPr>
      </w:pPr>
    </w:p>
    <w:sectPr w:rsidR="004B62D3" w:rsidRPr="00754CDF" w:rsidSect="00694847">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990" w:left="1080" w:header="720" w:footer="0"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DC10" w14:textId="77777777" w:rsidR="00C0230B" w:rsidRDefault="00C0230B">
      <w:r>
        <w:separator/>
      </w:r>
    </w:p>
  </w:endnote>
  <w:endnote w:type="continuationSeparator" w:id="0">
    <w:p w14:paraId="430DE951" w14:textId="77777777" w:rsidR="00C0230B" w:rsidRDefault="00C0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2C819" w14:textId="77777777" w:rsidR="00C0230B" w:rsidRDefault="00C0230B">
      <w:r>
        <w:separator/>
      </w:r>
    </w:p>
  </w:footnote>
  <w:footnote w:type="continuationSeparator" w:id="0">
    <w:p w14:paraId="55958513" w14:textId="77777777" w:rsidR="00C0230B" w:rsidRDefault="00C0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8924AC"/>
    <w:multiLevelType w:val="hybridMultilevel"/>
    <w:tmpl w:val="4CD0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B5DEE"/>
    <w:multiLevelType w:val="hybridMultilevel"/>
    <w:tmpl w:val="E1260690"/>
    <w:lvl w:ilvl="0" w:tplc="17DCC3F4">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0B">
      <w:start w:val="1"/>
      <w:numFmt w:val="bullet"/>
      <w:lvlText w:val=""/>
      <w:lvlJc w:val="left"/>
      <w:pPr>
        <w:ind w:left="180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53E2D"/>
    <w:multiLevelType w:val="hybridMultilevel"/>
    <w:tmpl w:val="FE24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D7B63"/>
    <w:multiLevelType w:val="hybridMultilevel"/>
    <w:tmpl w:val="9D2AE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5E05F5"/>
    <w:multiLevelType w:val="hybridMultilevel"/>
    <w:tmpl w:val="8C4A6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855260"/>
    <w:multiLevelType w:val="hybridMultilevel"/>
    <w:tmpl w:val="DFE4B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450235"/>
    <w:multiLevelType w:val="hybridMultilevel"/>
    <w:tmpl w:val="AE2C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D01D8"/>
    <w:multiLevelType w:val="hybridMultilevel"/>
    <w:tmpl w:val="C1D82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9C367C"/>
    <w:multiLevelType w:val="hybridMultilevel"/>
    <w:tmpl w:val="C1682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622C4"/>
    <w:multiLevelType w:val="hybridMultilevel"/>
    <w:tmpl w:val="0BAC2ECC"/>
    <w:lvl w:ilvl="0" w:tplc="04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3665089F"/>
    <w:multiLevelType w:val="hybridMultilevel"/>
    <w:tmpl w:val="C3D0A242"/>
    <w:lvl w:ilvl="0" w:tplc="7728D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25F67"/>
    <w:multiLevelType w:val="hybridMultilevel"/>
    <w:tmpl w:val="6452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BB4EB7"/>
    <w:multiLevelType w:val="hybridMultilevel"/>
    <w:tmpl w:val="2BAA7334"/>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2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8"/>
  </w:num>
  <w:num w:numId="5">
    <w:abstractNumId w:val="2"/>
  </w:num>
  <w:num w:numId="6">
    <w:abstractNumId w:val="20"/>
  </w:num>
  <w:num w:numId="7">
    <w:abstractNumId w:val="4"/>
  </w:num>
  <w:num w:numId="8">
    <w:abstractNumId w:val="5"/>
  </w:num>
  <w:num w:numId="9">
    <w:abstractNumId w:val="15"/>
  </w:num>
  <w:num w:numId="10">
    <w:abstractNumId w:val="19"/>
  </w:num>
  <w:num w:numId="11">
    <w:abstractNumId w:val="3"/>
  </w:num>
  <w:num w:numId="12">
    <w:abstractNumId w:val="14"/>
  </w:num>
  <w:num w:numId="13">
    <w:abstractNumId w:val="10"/>
  </w:num>
  <w:num w:numId="14">
    <w:abstractNumId w:val="16"/>
  </w:num>
  <w:num w:numId="15">
    <w:abstractNumId w:val="17"/>
  </w:num>
  <w:num w:numId="16">
    <w:abstractNumId w:val="11"/>
  </w:num>
  <w:num w:numId="17">
    <w:abstractNumId w:val="8"/>
  </w:num>
  <w:num w:numId="18">
    <w:abstractNumId w:val="6"/>
  </w:num>
  <w:num w:numId="19">
    <w:abstractNumId w:val="12"/>
  </w:num>
  <w:num w:numId="20">
    <w:abstractNumId w:val="9"/>
  </w:num>
  <w:num w:numId="21">
    <w:abstractNumId w:val="7"/>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4173"/>
    <w:rsid w:val="0006307F"/>
    <w:rsid w:val="00082EE9"/>
    <w:rsid w:val="0008483B"/>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E4F77"/>
    <w:rsid w:val="000F18D3"/>
    <w:rsid w:val="000F28AF"/>
    <w:rsid w:val="000F2E8F"/>
    <w:rsid w:val="000F7A00"/>
    <w:rsid w:val="00100899"/>
    <w:rsid w:val="001055AC"/>
    <w:rsid w:val="00105D15"/>
    <w:rsid w:val="00107EA1"/>
    <w:rsid w:val="001132AF"/>
    <w:rsid w:val="001159E8"/>
    <w:rsid w:val="001247C0"/>
    <w:rsid w:val="00124D85"/>
    <w:rsid w:val="0016495D"/>
    <w:rsid w:val="001759D9"/>
    <w:rsid w:val="001822F7"/>
    <w:rsid w:val="001850CB"/>
    <w:rsid w:val="00194DC3"/>
    <w:rsid w:val="001A774F"/>
    <w:rsid w:val="001B0A38"/>
    <w:rsid w:val="001B0E8B"/>
    <w:rsid w:val="001B27EE"/>
    <w:rsid w:val="001B40DA"/>
    <w:rsid w:val="001D7C43"/>
    <w:rsid w:val="001E0589"/>
    <w:rsid w:val="001E639C"/>
    <w:rsid w:val="001E7E29"/>
    <w:rsid w:val="001F5ADC"/>
    <w:rsid w:val="00200F64"/>
    <w:rsid w:val="002319B6"/>
    <w:rsid w:val="002326FE"/>
    <w:rsid w:val="00234883"/>
    <w:rsid w:val="00237F1D"/>
    <w:rsid w:val="00245F77"/>
    <w:rsid w:val="0025302B"/>
    <w:rsid w:val="00256648"/>
    <w:rsid w:val="00262D6F"/>
    <w:rsid w:val="00266257"/>
    <w:rsid w:val="00275083"/>
    <w:rsid w:val="0028248C"/>
    <w:rsid w:val="00292212"/>
    <w:rsid w:val="002A195F"/>
    <w:rsid w:val="002A29C4"/>
    <w:rsid w:val="002B186E"/>
    <w:rsid w:val="002B3AAE"/>
    <w:rsid w:val="002B67DA"/>
    <w:rsid w:val="002C4552"/>
    <w:rsid w:val="002D0E5D"/>
    <w:rsid w:val="002E3585"/>
    <w:rsid w:val="002F2FBF"/>
    <w:rsid w:val="002F6055"/>
    <w:rsid w:val="00300EA5"/>
    <w:rsid w:val="0030461B"/>
    <w:rsid w:val="00305F26"/>
    <w:rsid w:val="00312BAB"/>
    <w:rsid w:val="0031428C"/>
    <w:rsid w:val="003149F9"/>
    <w:rsid w:val="003231E8"/>
    <w:rsid w:val="003569D0"/>
    <w:rsid w:val="0036640B"/>
    <w:rsid w:val="003772B7"/>
    <w:rsid w:val="00377EEC"/>
    <w:rsid w:val="003906EA"/>
    <w:rsid w:val="003914D9"/>
    <w:rsid w:val="00395567"/>
    <w:rsid w:val="003A0C05"/>
    <w:rsid w:val="003A0ED0"/>
    <w:rsid w:val="003B4A38"/>
    <w:rsid w:val="003B4DEB"/>
    <w:rsid w:val="003B7DA2"/>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6071"/>
    <w:rsid w:val="004A78CF"/>
    <w:rsid w:val="004B62D3"/>
    <w:rsid w:val="004C19D9"/>
    <w:rsid w:val="004D348B"/>
    <w:rsid w:val="004F2105"/>
    <w:rsid w:val="004F61F7"/>
    <w:rsid w:val="0050293E"/>
    <w:rsid w:val="00511299"/>
    <w:rsid w:val="00511863"/>
    <w:rsid w:val="005223FB"/>
    <w:rsid w:val="00540608"/>
    <w:rsid w:val="00543566"/>
    <w:rsid w:val="00546DCC"/>
    <w:rsid w:val="005522F9"/>
    <w:rsid w:val="00563062"/>
    <w:rsid w:val="00566EEC"/>
    <w:rsid w:val="00567026"/>
    <w:rsid w:val="005711AC"/>
    <w:rsid w:val="0057344B"/>
    <w:rsid w:val="00576C85"/>
    <w:rsid w:val="00582ACA"/>
    <w:rsid w:val="00585CCB"/>
    <w:rsid w:val="00587C64"/>
    <w:rsid w:val="0059095D"/>
    <w:rsid w:val="005945F6"/>
    <w:rsid w:val="005949BB"/>
    <w:rsid w:val="005A36BF"/>
    <w:rsid w:val="005A5B69"/>
    <w:rsid w:val="005B44A8"/>
    <w:rsid w:val="005D3EBD"/>
    <w:rsid w:val="005D5030"/>
    <w:rsid w:val="005D5088"/>
    <w:rsid w:val="005F4210"/>
    <w:rsid w:val="00600A30"/>
    <w:rsid w:val="00605397"/>
    <w:rsid w:val="0061071C"/>
    <w:rsid w:val="006109EF"/>
    <w:rsid w:val="00616C94"/>
    <w:rsid w:val="00625747"/>
    <w:rsid w:val="00626D22"/>
    <w:rsid w:val="0064085C"/>
    <w:rsid w:val="00641B80"/>
    <w:rsid w:val="00657C17"/>
    <w:rsid w:val="0066073E"/>
    <w:rsid w:val="006672F1"/>
    <w:rsid w:val="006742D7"/>
    <w:rsid w:val="00676C02"/>
    <w:rsid w:val="00680F12"/>
    <w:rsid w:val="00685FB0"/>
    <w:rsid w:val="00694847"/>
    <w:rsid w:val="00696070"/>
    <w:rsid w:val="00696BE6"/>
    <w:rsid w:val="006A07F5"/>
    <w:rsid w:val="006B7636"/>
    <w:rsid w:val="006C2E8F"/>
    <w:rsid w:val="006D2259"/>
    <w:rsid w:val="006D7AD4"/>
    <w:rsid w:val="006E3AB7"/>
    <w:rsid w:val="006F0751"/>
    <w:rsid w:val="006F5E43"/>
    <w:rsid w:val="006F7A01"/>
    <w:rsid w:val="00704DB2"/>
    <w:rsid w:val="00707D8F"/>
    <w:rsid w:val="007106F1"/>
    <w:rsid w:val="00722839"/>
    <w:rsid w:val="00754CDF"/>
    <w:rsid w:val="00755930"/>
    <w:rsid w:val="00755F42"/>
    <w:rsid w:val="0076476B"/>
    <w:rsid w:val="0078283E"/>
    <w:rsid w:val="0078655A"/>
    <w:rsid w:val="00795B77"/>
    <w:rsid w:val="007A4E19"/>
    <w:rsid w:val="007A508F"/>
    <w:rsid w:val="007D1F9E"/>
    <w:rsid w:val="007D7370"/>
    <w:rsid w:val="007E234E"/>
    <w:rsid w:val="007E5957"/>
    <w:rsid w:val="007E5F64"/>
    <w:rsid w:val="007E726A"/>
    <w:rsid w:val="007F33CC"/>
    <w:rsid w:val="008007F0"/>
    <w:rsid w:val="008008D8"/>
    <w:rsid w:val="0080639A"/>
    <w:rsid w:val="00807047"/>
    <w:rsid w:val="00811F2C"/>
    <w:rsid w:val="008126A3"/>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F05AF"/>
    <w:rsid w:val="008F4558"/>
    <w:rsid w:val="008F7D86"/>
    <w:rsid w:val="0090101A"/>
    <w:rsid w:val="00907A40"/>
    <w:rsid w:val="00911052"/>
    <w:rsid w:val="00916CEA"/>
    <w:rsid w:val="00921C62"/>
    <w:rsid w:val="00934695"/>
    <w:rsid w:val="00940548"/>
    <w:rsid w:val="00963F3A"/>
    <w:rsid w:val="0096544C"/>
    <w:rsid w:val="009704F7"/>
    <w:rsid w:val="00981907"/>
    <w:rsid w:val="00982004"/>
    <w:rsid w:val="0098538A"/>
    <w:rsid w:val="009867C9"/>
    <w:rsid w:val="009930D0"/>
    <w:rsid w:val="009A22D2"/>
    <w:rsid w:val="009B267B"/>
    <w:rsid w:val="009B50A5"/>
    <w:rsid w:val="009C00BB"/>
    <w:rsid w:val="009C3528"/>
    <w:rsid w:val="009C447E"/>
    <w:rsid w:val="009C7D14"/>
    <w:rsid w:val="009D1435"/>
    <w:rsid w:val="009D1878"/>
    <w:rsid w:val="009D1CE1"/>
    <w:rsid w:val="009E000D"/>
    <w:rsid w:val="009E3BA2"/>
    <w:rsid w:val="009E4622"/>
    <w:rsid w:val="009E47A6"/>
    <w:rsid w:val="009E58E4"/>
    <w:rsid w:val="009E7C40"/>
    <w:rsid w:val="009F1F58"/>
    <w:rsid w:val="009F705D"/>
    <w:rsid w:val="00A10B8A"/>
    <w:rsid w:val="00A10E07"/>
    <w:rsid w:val="00A1506E"/>
    <w:rsid w:val="00A16838"/>
    <w:rsid w:val="00A16C24"/>
    <w:rsid w:val="00A227F5"/>
    <w:rsid w:val="00A31016"/>
    <w:rsid w:val="00A406B3"/>
    <w:rsid w:val="00A4282D"/>
    <w:rsid w:val="00A51F23"/>
    <w:rsid w:val="00A5607B"/>
    <w:rsid w:val="00A66BF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0B38"/>
    <w:rsid w:val="00AD175B"/>
    <w:rsid w:val="00AD18BC"/>
    <w:rsid w:val="00AD7B9C"/>
    <w:rsid w:val="00AE43CB"/>
    <w:rsid w:val="00AE58D9"/>
    <w:rsid w:val="00AF0632"/>
    <w:rsid w:val="00AF323E"/>
    <w:rsid w:val="00B07F66"/>
    <w:rsid w:val="00B205A7"/>
    <w:rsid w:val="00B2479A"/>
    <w:rsid w:val="00B271EC"/>
    <w:rsid w:val="00B3476C"/>
    <w:rsid w:val="00B35247"/>
    <w:rsid w:val="00B3687B"/>
    <w:rsid w:val="00B375FE"/>
    <w:rsid w:val="00B42127"/>
    <w:rsid w:val="00B423C2"/>
    <w:rsid w:val="00B52298"/>
    <w:rsid w:val="00B60F72"/>
    <w:rsid w:val="00B611A3"/>
    <w:rsid w:val="00B661B8"/>
    <w:rsid w:val="00B6743D"/>
    <w:rsid w:val="00B749EB"/>
    <w:rsid w:val="00B77215"/>
    <w:rsid w:val="00B80DD2"/>
    <w:rsid w:val="00B82474"/>
    <w:rsid w:val="00B9175A"/>
    <w:rsid w:val="00B92E73"/>
    <w:rsid w:val="00BA3FA7"/>
    <w:rsid w:val="00BA6046"/>
    <w:rsid w:val="00BB1643"/>
    <w:rsid w:val="00BB22B9"/>
    <w:rsid w:val="00BB29EC"/>
    <w:rsid w:val="00BB591C"/>
    <w:rsid w:val="00BB64DB"/>
    <w:rsid w:val="00BC6A8D"/>
    <w:rsid w:val="00BD48DB"/>
    <w:rsid w:val="00BE033E"/>
    <w:rsid w:val="00BE2C02"/>
    <w:rsid w:val="00BE4EE6"/>
    <w:rsid w:val="00BF4AFA"/>
    <w:rsid w:val="00BF737A"/>
    <w:rsid w:val="00C02286"/>
    <w:rsid w:val="00C0230B"/>
    <w:rsid w:val="00C14311"/>
    <w:rsid w:val="00C21CEF"/>
    <w:rsid w:val="00C23EB9"/>
    <w:rsid w:val="00C2792E"/>
    <w:rsid w:val="00C30DA0"/>
    <w:rsid w:val="00C335C5"/>
    <w:rsid w:val="00C353C1"/>
    <w:rsid w:val="00C456F4"/>
    <w:rsid w:val="00C5163E"/>
    <w:rsid w:val="00C57760"/>
    <w:rsid w:val="00C63087"/>
    <w:rsid w:val="00C64805"/>
    <w:rsid w:val="00C66635"/>
    <w:rsid w:val="00C73120"/>
    <w:rsid w:val="00C826F0"/>
    <w:rsid w:val="00C85A85"/>
    <w:rsid w:val="00C866E0"/>
    <w:rsid w:val="00C87B23"/>
    <w:rsid w:val="00C91790"/>
    <w:rsid w:val="00C91BE8"/>
    <w:rsid w:val="00C91CF2"/>
    <w:rsid w:val="00C93984"/>
    <w:rsid w:val="00C97969"/>
    <w:rsid w:val="00CA4EE2"/>
    <w:rsid w:val="00CB1401"/>
    <w:rsid w:val="00CC51C6"/>
    <w:rsid w:val="00CC70C1"/>
    <w:rsid w:val="00CD1C6C"/>
    <w:rsid w:val="00CD67AB"/>
    <w:rsid w:val="00CE384E"/>
    <w:rsid w:val="00CF24FD"/>
    <w:rsid w:val="00CF6E7F"/>
    <w:rsid w:val="00D0721D"/>
    <w:rsid w:val="00D17423"/>
    <w:rsid w:val="00D20BBA"/>
    <w:rsid w:val="00D35D57"/>
    <w:rsid w:val="00D5145D"/>
    <w:rsid w:val="00D51DD2"/>
    <w:rsid w:val="00D55C94"/>
    <w:rsid w:val="00D60100"/>
    <w:rsid w:val="00D630D3"/>
    <w:rsid w:val="00D66C18"/>
    <w:rsid w:val="00D67206"/>
    <w:rsid w:val="00D8129E"/>
    <w:rsid w:val="00D846F6"/>
    <w:rsid w:val="00D857D5"/>
    <w:rsid w:val="00DB0849"/>
    <w:rsid w:val="00DB6CF4"/>
    <w:rsid w:val="00DC1F1E"/>
    <w:rsid w:val="00DD321F"/>
    <w:rsid w:val="00DD7980"/>
    <w:rsid w:val="00DE318E"/>
    <w:rsid w:val="00DF2D65"/>
    <w:rsid w:val="00DF7075"/>
    <w:rsid w:val="00E00793"/>
    <w:rsid w:val="00E0243D"/>
    <w:rsid w:val="00E045CF"/>
    <w:rsid w:val="00E06EBD"/>
    <w:rsid w:val="00E317DD"/>
    <w:rsid w:val="00E36DB1"/>
    <w:rsid w:val="00E410A7"/>
    <w:rsid w:val="00E4601B"/>
    <w:rsid w:val="00E46238"/>
    <w:rsid w:val="00E50FE0"/>
    <w:rsid w:val="00E602BE"/>
    <w:rsid w:val="00E72867"/>
    <w:rsid w:val="00E732F6"/>
    <w:rsid w:val="00E739DA"/>
    <w:rsid w:val="00E96BA1"/>
    <w:rsid w:val="00EA186D"/>
    <w:rsid w:val="00EA7D8F"/>
    <w:rsid w:val="00EB1794"/>
    <w:rsid w:val="00EC13FF"/>
    <w:rsid w:val="00ED71AF"/>
    <w:rsid w:val="00EE3588"/>
    <w:rsid w:val="00EF090D"/>
    <w:rsid w:val="00EF66D3"/>
    <w:rsid w:val="00F04ACE"/>
    <w:rsid w:val="00F06415"/>
    <w:rsid w:val="00F15B77"/>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56648"/>
    <w:rPr>
      <w:color w:val="605E5C"/>
      <w:shd w:val="clear" w:color="auto" w:fill="E1DFDD"/>
    </w:rPr>
  </w:style>
  <w:style w:type="table" w:styleId="TableGrid">
    <w:name w:val="Table Grid"/>
    <w:basedOn w:val="TableNormal"/>
    <w:uiPriority w:val="39"/>
    <w:rsid w:val="00C85A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cc.org/events/2023-accreditation-institu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events/2023-fall-plenary-sess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sccc.org/events/cte-collaborative-events-and-regional-consortium-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ccc.org/events/cte-collaborative-events-and-regional-consortiu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7161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2</cp:revision>
  <cp:lastPrinted>2017-04-13T00:50:00Z</cp:lastPrinted>
  <dcterms:created xsi:type="dcterms:W3CDTF">2023-09-27T22:22:00Z</dcterms:created>
  <dcterms:modified xsi:type="dcterms:W3CDTF">2023-09-27T22:22:00Z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