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5399A0EA">
            <wp:simplePos x="0" y="0"/>
            <wp:positionH relativeFrom="margin">
              <wp:posOffset>1874520</wp:posOffset>
            </wp:positionH>
            <wp:positionV relativeFrom="margin">
              <wp:posOffset>-190499</wp:posOffset>
            </wp:positionV>
            <wp:extent cx="2594683" cy="579120"/>
            <wp:effectExtent l="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2667699" cy="59541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44739CC" w14:textId="77777777" w:rsidR="00F720A3" w:rsidRDefault="00F720A3" w:rsidP="00F60C8B">
      <w:pPr>
        <w:pStyle w:val="Title"/>
        <w:ind w:left="0"/>
        <w:jc w:val="left"/>
        <w:rPr>
          <w:rFonts w:asciiTheme="majorHAnsi" w:hAnsiTheme="majorHAnsi"/>
        </w:rPr>
      </w:pPr>
    </w:p>
    <w:p w14:paraId="6490EBC1" w14:textId="20F33FCD" w:rsidR="0080639A" w:rsidRPr="0080639A" w:rsidRDefault="00B7429C" w:rsidP="00A4282D">
      <w:pPr>
        <w:pStyle w:val="Title"/>
        <w:rPr>
          <w:rFonts w:asciiTheme="majorHAnsi" w:hAnsiTheme="majorHAnsi"/>
        </w:rPr>
      </w:pPr>
      <w:r>
        <w:rPr>
          <w:rFonts w:asciiTheme="majorHAnsi" w:hAnsiTheme="majorHAnsi"/>
        </w:rPr>
        <w:t xml:space="preserve">ASCCC </w:t>
      </w:r>
      <w:r w:rsidR="009B0563">
        <w:rPr>
          <w:rFonts w:asciiTheme="majorHAnsi" w:hAnsiTheme="majorHAnsi"/>
        </w:rPr>
        <w:t xml:space="preserve">CTE LEADERSHIP </w:t>
      </w:r>
      <w:r w:rsidR="002C20EF">
        <w:rPr>
          <w:rFonts w:asciiTheme="majorHAnsi" w:hAnsiTheme="majorHAnsi"/>
        </w:rPr>
        <w:t>COMMITTEE</w:t>
      </w:r>
    </w:p>
    <w:p w14:paraId="26B13B5C" w14:textId="21949FE7" w:rsidR="0080639A" w:rsidRPr="00167C66" w:rsidRDefault="003B340C" w:rsidP="00A4282D">
      <w:pPr>
        <w:pStyle w:val="Title"/>
        <w:rPr>
          <w:rFonts w:asciiTheme="majorHAnsi" w:hAnsiTheme="majorHAnsi"/>
          <w:b w:val="0"/>
          <w:bCs w:val="0"/>
          <w:color w:val="000000" w:themeColor="text1"/>
        </w:rPr>
      </w:pPr>
      <w:r>
        <w:rPr>
          <w:rFonts w:asciiTheme="majorHAnsi" w:hAnsiTheme="majorHAnsi"/>
          <w:b w:val="0"/>
          <w:bCs w:val="0"/>
          <w:color w:val="000000" w:themeColor="text1"/>
        </w:rPr>
        <w:t>November 13</w:t>
      </w:r>
      <w:r w:rsidRPr="003B340C">
        <w:rPr>
          <w:rFonts w:asciiTheme="majorHAnsi" w:hAnsiTheme="majorHAnsi"/>
          <w:b w:val="0"/>
          <w:bCs w:val="0"/>
          <w:color w:val="000000" w:themeColor="text1"/>
          <w:vertAlign w:val="superscript"/>
        </w:rPr>
        <w:t>th</w:t>
      </w:r>
      <w:r w:rsidR="002C20EF" w:rsidRPr="00167C66">
        <w:rPr>
          <w:rFonts w:asciiTheme="majorHAnsi" w:hAnsiTheme="majorHAnsi"/>
          <w:b w:val="0"/>
          <w:bCs w:val="0"/>
          <w:color w:val="000000" w:themeColor="text1"/>
        </w:rPr>
        <w:t>, 2019</w:t>
      </w:r>
    </w:p>
    <w:p w14:paraId="7842A477" w14:textId="6816224A" w:rsidR="00F720A3" w:rsidRDefault="00167C66" w:rsidP="003B340C">
      <w:pPr>
        <w:pStyle w:val="Title"/>
        <w:rPr>
          <w:rFonts w:asciiTheme="majorHAnsi" w:hAnsiTheme="majorHAnsi"/>
          <w:b w:val="0"/>
          <w:bCs w:val="0"/>
          <w:color w:val="000000" w:themeColor="text1"/>
        </w:rPr>
      </w:pPr>
      <w:r w:rsidRPr="00167C66">
        <w:rPr>
          <w:rFonts w:asciiTheme="majorHAnsi" w:hAnsiTheme="majorHAnsi"/>
          <w:b w:val="0"/>
          <w:bCs w:val="0"/>
          <w:color w:val="000000" w:themeColor="text1"/>
        </w:rPr>
        <w:t>1</w:t>
      </w:r>
      <w:r w:rsidR="003B340C">
        <w:rPr>
          <w:rFonts w:asciiTheme="majorHAnsi" w:hAnsiTheme="majorHAnsi"/>
          <w:b w:val="0"/>
          <w:bCs w:val="0"/>
          <w:color w:val="000000" w:themeColor="text1"/>
        </w:rPr>
        <w:t>0</w:t>
      </w:r>
      <w:r w:rsidR="002C20EF" w:rsidRPr="00167C66">
        <w:rPr>
          <w:rFonts w:asciiTheme="majorHAnsi" w:hAnsiTheme="majorHAnsi"/>
          <w:b w:val="0"/>
          <w:bCs w:val="0"/>
          <w:color w:val="000000" w:themeColor="text1"/>
        </w:rPr>
        <w:t>:00AM – 1</w:t>
      </w:r>
      <w:r w:rsidR="003B340C">
        <w:rPr>
          <w:rFonts w:asciiTheme="majorHAnsi" w:hAnsiTheme="majorHAnsi"/>
          <w:b w:val="0"/>
          <w:bCs w:val="0"/>
          <w:color w:val="000000" w:themeColor="text1"/>
        </w:rPr>
        <w:t>1</w:t>
      </w:r>
      <w:r w:rsidR="002C20EF" w:rsidRPr="00167C66">
        <w:rPr>
          <w:rFonts w:asciiTheme="majorHAnsi" w:hAnsiTheme="majorHAnsi"/>
          <w:b w:val="0"/>
          <w:bCs w:val="0"/>
          <w:color w:val="000000" w:themeColor="text1"/>
        </w:rPr>
        <w:t>:00</w:t>
      </w:r>
      <w:r w:rsidR="003B340C">
        <w:rPr>
          <w:rFonts w:asciiTheme="majorHAnsi" w:hAnsiTheme="majorHAnsi"/>
          <w:b w:val="0"/>
          <w:bCs w:val="0"/>
          <w:color w:val="000000" w:themeColor="text1"/>
        </w:rPr>
        <w:t>A</w:t>
      </w:r>
      <w:r w:rsidR="002C20EF" w:rsidRPr="00167C66">
        <w:rPr>
          <w:rFonts w:asciiTheme="majorHAnsi" w:hAnsiTheme="majorHAnsi"/>
          <w:b w:val="0"/>
          <w:bCs w:val="0"/>
          <w:color w:val="000000" w:themeColor="text1"/>
        </w:rPr>
        <w:t>M</w:t>
      </w:r>
    </w:p>
    <w:p w14:paraId="342E604D" w14:textId="7559987F" w:rsidR="003B340C" w:rsidRPr="003B340C" w:rsidRDefault="00F80612" w:rsidP="003B340C">
      <w:pPr>
        <w:pStyle w:val="Title"/>
        <w:rPr>
          <w:rFonts w:asciiTheme="majorHAnsi" w:hAnsiTheme="majorHAnsi"/>
          <w:color w:val="000000" w:themeColor="text1"/>
        </w:rPr>
      </w:pPr>
      <w:hyperlink r:id="rId8" w:history="1">
        <w:r w:rsidR="003B340C" w:rsidRPr="003B340C">
          <w:rPr>
            <w:rStyle w:val="Hyperlink"/>
            <w:rFonts w:asciiTheme="majorHAnsi" w:hAnsiTheme="majorHAnsi"/>
          </w:rPr>
          <w:t>ZOOM</w:t>
        </w:r>
      </w:hyperlink>
    </w:p>
    <w:p w14:paraId="19D02100" w14:textId="77777777" w:rsidR="003B340C" w:rsidRPr="005C64A9" w:rsidRDefault="003B340C" w:rsidP="003B340C">
      <w:pPr>
        <w:pStyle w:val="Title"/>
        <w:rPr>
          <w:rFonts w:asciiTheme="majorHAnsi" w:hAnsiTheme="majorHAnsi"/>
          <w:b w:val="0"/>
          <w:bCs w:val="0"/>
          <w:color w:val="000000" w:themeColor="text1"/>
          <w:sz w:val="16"/>
          <w:szCs w:val="16"/>
        </w:rPr>
      </w:pPr>
    </w:p>
    <w:p w14:paraId="6A2E796D" w14:textId="77777777" w:rsidR="00A4282D" w:rsidRPr="0080639A" w:rsidRDefault="00A4282D" w:rsidP="0080639A">
      <w:pPr>
        <w:pStyle w:val="Title"/>
        <w:rPr>
          <w:rFonts w:asciiTheme="majorHAnsi" w:hAnsiTheme="majorHAnsi"/>
        </w:rPr>
      </w:pPr>
      <w:r w:rsidRPr="0080639A">
        <w:rPr>
          <w:rFonts w:asciiTheme="majorHAnsi" w:hAnsiTheme="majorHAnsi"/>
        </w:rPr>
        <w:t>AGENDA</w:t>
      </w:r>
    </w:p>
    <w:p w14:paraId="7ED6AC03" w14:textId="16C87D02" w:rsidR="008A27EB" w:rsidRDefault="000E06F1" w:rsidP="00705A48">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A2DA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strokeweight="2.25pt"/>
            </w:pict>
          </mc:Fallback>
        </mc:AlternateContent>
      </w:r>
    </w:p>
    <w:p w14:paraId="24708048" w14:textId="77777777" w:rsidR="00705A48" w:rsidRPr="00705A48" w:rsidRDefault="00705A48" w:rsidP="00705A48">
      <w:pPr>
        <w:pStyle w:val="mainbody"/>
        <w:spacing w:before="0" w:beforeAutospacing="0" w:after="0" w:afterAutospacing="0"/>
        <w:jc w:val="center"/>
        <w:rPr>
          <w:rFonts w:asciiTheme="majorHAnsi" w:hAnsiTheme="majorHAnsi"/>
          <w:sz w:val="16"/>
          <w:szCs w:val="20"/>
        </w:rPr>
      </w:pPr>
    </w:p>
    <w:p w14:paraId="22141B96" w14:textId="1BF41BAE" w:rsidR="002C20EF" w:rsidRDefault="0080639A" w:rsidP="00BB64DB">
      <w:pPr>
        <w:numPr>
          <w:ilvl w:val="0"/>
          <w:numId w:val="7"/>
        </w:numPr>
        <w:rPr>
          <w:rFonts w:asciiTheme="majorHAnsi" w:hAnsiTheme="majorHAnsi"/>
        </w:rPr>
      </w:pPr>
      <w:r w:rsidRPr="0045174E">
        <w:rPr>
          <w:rFonts w:asciiTheme="majorHAnsi" w:hAnsiTheme="majorHAnsi"/>
        </w:rPr>
        <w:t>Call to Order</w:t>
      </w:r>
      <w:r w:rsidR="00F206E2">
        <w:rPr>
          <w:rFonts w:asciiTheme="majorHAnsi" w:hAnsiTheme="majorHAnsi"/>
        </w:rPr>
        <w:t xml:space="preserve"> </w:t>
      </w:r>
    </w:p>
    <w:p w14:paraId="759B9CD2" w14:textId="2A8E25C2" w:rsidR="002C20EF" w:rsidRDefault="002C20EF" w:rsidP="002C20EF">
      <w:pPr>
        <w:numPr>
          <w:ilvl w:val="1"/>
          <w:numId w:val="7"/>
        </w:numPr>
        <w:rPr>
          <w:rFonts w:asciiTheme="majorHAnsi" w:hAnsiTheme="majorHAnsi"/>
        </w:rPr>
      </w:pPr>
      <w:r>
        <w:rPr>
          <w:rFonts w:asciiTheme="majorHAnsi" w:hAnsiTheme="majorHAnsi"/>
        </w:rPr>
        <w:t xml:space="preserve">Select notetaker </w:t>
      </w:r>
    </w:p>
    <w:p w14:paraId="7108C91D" w14:textId="7B64530D" w:rsidR="002C20EF" w:rsidRDefault="00705A48" w:rsidP="00461A50">
      <w:pPr>
        <w:numPr>
          <w:ilvl w:val="1"/>
          <w:numId w:val="7"/>
        </w:numPr>
        <w:rPr>
          <w:rFonts w:asciiTheme="majorHAnsi" w:hAnsiTheme="majorHAnsi"/>
        </w:rPr>
      </w:pPr>
      <w:r>
        <w:rPr>
          <w:rFonts w:asciiTheme="majorHAnsi" w:hAnsiTheme="majorHAnsi"/>
        </w:rPr>
        <w:t>Attendance</w:t>
      </w:r>
      <w:r w:rsidR="003B340C">
        <w:rPr>
          <w:rFonts w:asciiTheme="majorHAnsi" w:hAnsiTheme="majorHAnsi"/>
        </w:rPr>
        <w:t>- members, guests</w:t>
      </w:r>
    </w:p>
    <w:p w14:paraId="5AF997BC" w14:textId="77777777" w:rsidR="00461A50" w:rsidRPr="00461A50" w:rsidRDefault="00461A50" w:rsidP="00461A50">
      <w:pPr>
        <w:rPr>
          <w:rFonts w:asciiTheme="majorHAnsi" w:hAnsiTheme="majorHAnsi"/>
        </w:rPr>
      </w:pPr>
    </w:p>
    <w:p w14:paraId="43C211F7" w14:textId="78730EB9" w:rsidR="0080639A" w:rsidRDefault="00F206E2" w:rsidP="00BB64DB">
      <w:pPr>
        <w:numPr>
          <w:ilvl w:val="0"/>
          <w:numId w:val="7"/>
        </w:numPr>
        <w:rPr>
          <w:rFonts w:asciiTheme="majorHAnsi" w:hAnsiTheme="majorHAnsi"/>
        </w:rPr>
      </w:pPr>
      <w:r>
        <w:rPr>
          <w:rFonts w:asciiTheme="majorHAnsi" w:hAnsiTheme="majorHAnsi"/>
        </w:rPr>
        <w:t>Adoption of the Agenda</w:t>
      </w:r>
    </w:p>
    <w:p w14:paraId="1041AC66" w14:textId="77777777" w:rsidR="00B205A7" w:rsidRDefault="00B205A7" w:rsidP="00B205A7">
      <w:pPr>
        <w:ind w:left="1080"/>
        <w:rPr>
          <w:rFonts w:asciiTheme="majorHAnsi" w:hAnsiTheme="majorHAnsi"/>
        </w:rPr>
      </w:pPr>
    </w:p>
    <w:p w14:paraId="4682E7F0" w14:textId="408104E6" w:rsidR="003B440A" w:rsidRPr="003B440A" w:rsidRDefault="00B205A7" w:rsidP="003B440A">
      <w:pPr>
        <w:numPr>
          <w:ilvl w:val="0"/>
          <w:numId w:val="7"/>
        </w:numPr>
        <w:rPr>
          <w:rFonts w:asciiTheme="majorHAnsi" w:hAnsiTheme="majorHAnsi"/>
        </w:rPr>
      </w:pPr>
      <w:r>
        <w:rPr>
          <w:rFonts w:asciiTheme="majorHAnsi" w:hAnsiTheme="majorHAnsi"/>
        </w:rPr>
        <w:t xml:space="preserve">Approval of </w:t>
      </w:r>
      <w:r w:rsidR="00F720A3">
        <w:rPr>
          <w:rFonts w:asciiTheme="majorHAnsi" w:hAnsiTheme="majorHAnsi"/>
        </w:rPr>
        <w:t>Minutes</w:t>
      </w:r>
    </w:p>
    <w:p w14:paraId="1333D519" w14:textId="3DD91E67" w:rsidR="003B440A" w:rsidRPr="003B440A" w:rsidRDefault="003B340C" w:rsidP="003B440A">
      <w:pPr>
        <w:numPr>
          <w:ilvl w:val="1"/>
          <w:numId w:val="7"/>
        </w:numPr>
        <w:rPr>
          <w:rFonts w:asciiTheme="majorHAnsi" w:hAnsiTheme="majorHAnsi"/>
        </w:rPr>
      </w:pPr>
      <w:r>
        <w:rPr>
          <w:rFonts w:asciiTheme="majorHAnsi" w:hAnsiTheme="majorHAnsi"/>
        </w:rPr>
        <w:t>10.16.2019</w:t>
      </w:r>
      <w:r w:rsidR="00D55C78">
        <w:rPr>
          <w:rFonts w:asciiTheme="majorHAnsi" w:hAnsiTheme="majorHAnsi"/>
        </w:rPr>
        <w:t>- attachment</w:t>
      </w:r>
      <w:r w:rsidR="007C6945">
        <w:rPr>
          <w:rFonts w:asciiTheme="majorHAnsi" w:hAnsiTheme="majorHAnsi"/>
        </w:rPr>
        <w:t xml:space="preserve"> </w:t>
      </w:r>
    </w:p>
    <w:p w14:paraId="247A5ACA" w14:textId="77777777" w:rsidR="0006307F" w:rsidRDefault="0006307F" w:rsidP="0006307F">
      <w:pPr>
        <w:rPr>
          <w:rFonts w:asciiTheme="majorHAnsi" w:hAnsiTheme="majorHAnsi"/>
        </w:rPr>
      </w:pPr>
    </w:p>
    <w:p w14:paraId="22EE2125" w14:textId="29C95CD4" w:rsidR="0006307F" w:rsidRPr="00940A25" w:rsidRDefault="00103922" w:rsidP="00940A25">
      <w:pPr>
        <w:numPr>
          <w:ilvl w:val="0"/>
          <w:numId w:val="7"/>
        </w:numPr>
        <w:jc w:val="both"/>
        <w:rPr>
          <w:rStyle w:val="Hyperlink"/>
          <w:rFonts w:asciiTheme="majorHAnsi" w:hAnsiTheme="majorHAnsi"/>
          <w:color w:val="auto"/>
        </w:rPr>
      </w:pPr>
      <w:r>
        <w:rPr>
          <w:rFonts w:asciiTheme="majorHAnsi" w:hAnsiTheme="majorHAnsi"/>
        </w:rPr>
        <w:t>ASCCC Information</w:t>
      </w:r>
    </w:p>
    <w:p w14:paraId="550C051D" w14:textId="62B5D2E7" w:rsidR="00334502" w:rsidRPr="00D55C78" w:rsidRDefault="00BF478C" w:rsidP="00071CB9">
      <w:pPr>
        <w:numPr>
          <w:ilvl w:val="1"/>
          <w:numId w:val="7"/>
        </w:numPr>
        <w:jc w:val="both"/>
        <w:rPr>
          <w:rStyle w:val="Hyperlink"/>
          <w:rFonts w:asciiTheme="majorHAnsi" w:hAnsiTheme="majorHAnsi"/>
          <w:color w:val="auto"/>
        </w:rPr>
      </w:pPr>
      <w:r w:rsidRPr="00BF478C">
        <w:rPr>
          <w:rFonts w:asciiTheme="majorHAnsi" w:hAnsiTheme="majorHAnsi" w:cstheme="majorHAnsi"/>
        </w:rPr>
        <w:t xml:space="preserve">ASCCC </w:t>
      </w:r>
      <w:hyperlink r:id="rId9" w:history="1">
        <w:r w:rsidR="009B0563" w:rsidRPr="009B0563">
          <w:rPr>
            <w:rStyle w:val="Hyperlink"/>
            <w:rFonts w:asciiTheme="majorHAnsi" w:hAnsiTheme="majorHAnsi"/>
          </w:rPr>
          <w:t>CTE Leadership Committee</w:t>
        </w:r>
      </w:hyperlink>
    </w:p>
    <w:p w14:paraId="72AA17F7" w14:textId="77777777" w:rsidR="00D55C78" w:rsidRDefault="00D55C78" w:rsidP="00D55C78">
      <w:pPr>
        <w:numPr>
          <w:ilvl w:val="2"/>
          <w:numId w:val="7"/>
        </w:numPr>
        <w:rPr>
          <w:rFonts w:asciiTheme="majorHAnsi" w:hAnsiTheme="majorHAnsi"/>
        </w:rPr>
      </w:pPr>
      <w:r>
        <w:rPr>
          <w:rFonts w:asciiTheme="majorHAnsi" w:hAnsiTheme="majorHAnsi"/>
        </w:rPr>
        <w:t xml:space="preserve">CTE </w:t>
      </w:r>
      <w:hyperlink r:id="rId10" w:history="1">
        <w:r w:rsidRPr="00AF1730">
          <w:rPr>
            <w:rStyle w:val="Hyperlink"/>
            <w:rFonts w:asciiTheme="majorHAnsi" w:hAnsiTheme="majorHAnsi"/>
          </w:rPr>
          <w:t>C-ID</w:t>
        </w:r>
      </w:hyperlink>
      <w:r>
        <w:rPr>
          <w:rFonts w:asciiTheme="majorHAnsi" w:hAnsiTheme="majorHAnsi"/>
        </w:rPr>
        <w:t xml:space="preserve"> Faculty Lead (Lynn Shaw) </w:t>
      </w:r>
    </w:p>
    <w:p w14:paraId="7468C713" w14:textId="5B9D3C63" w:rsidR="00D55C78" w:rsidRPr="00D55C78" w:rsidRDefault="00F80612" w:rsidP="00D55C78">
      <w:pPr>
        <w:numPr>
          <w:ilvl w:val="2"/>
          <w:numId w:val="7"/>
        </w:numPr>
        <w:rPr>
          <w:rStyle w:val="Hyperlink"/>
          <w:rFonts w:asciiTheme="majorHAnsi" w:hAnsiTheme="majorHAnsi"/>
          <w:color w:val="auto"/>
        </w:rPr>
      </w:pPr>
      <w:hyperlink r:id="rId11" w:history="1">
        <w:r w:rsidR="00D55C78" w:rsidRPr="00334502">
          <w:rPr>
            <w:rStyle w:val="Hyperlink"/>
            <w:rFonts w:asciiTheme="majorHAnsi" w:hAnsiTheme="majorHAnsi"/>
          </w:rPr>
          <w:t>C-ID Model Curriculum</w:t>
        </w:r>
      </w:hyperlink>
      <w:r w:rsidR="00D55C78" w:rsidRPr="00334502">
        <w:rPr>
          <w:rFonts w:asciiTheme="majorHAnsi" w:hAnsiTheme="majorHAnsi"/>
        </w:rPr>
        <w:t xml:space="preserve"> (MCW)</w:t>
      </w:r>
      <w:r w:rsidR="00D55C78" w:rsidRPr="00334502">
        <w:rPr>
          <w:rStyle w:val="Hyperlink"/>
          <w:rFonts w:asciiTheme="majorHAnsi" w:hAnsiTheme="majorHAnsi"/>
        </w:rPr>
        <w:t xml:space="preserve"> </w:t>
      </w:r>
    </w:p>
    <w:p w14:paraId="2F48AA0F" w14:textId="4FB2837E" w:rsidR="00D55C78" w:rsidRPr="00334502" w:rsidRDefault="00D55C78" w:rsidP="00071CB9">
      <w:pPr>
        <w:numPr>
          <w:ilvl w:val="1"/>
          <w:numId w:val="7"/>
        </w:numPr>
        <w:jc w:val="both"/>
        <w:rPr>
          <w:rStyle w:val="Hyperlink"/>
          <w:rFonts w:asciiTheme="majorHAnsi" w:hAnsiTheme="majorHAnsi"/>
          <w:color w:val="auto"/>
        </w:rPr>
      </w:pPr>
      <w:r>
        <w:rPr>
          <w:rFonts w:asciiTheme="majorHAnsi" w:hAnsiTheme="majorHAnsi" w:cstheme="majorHAnsi"/>
        </w:rPr>
        <w:t>CCCCO Listening Tours- attachment</w:t>
      </w:r>
    </w:p>
    <w:p w14:paraId="4FEEB925" w14:textId="77777777" w:rsidR="002C20EF" w:rsidRPr="00071CB9" w:rsidRDefault="002C20EF" w:rsidP="00071CB9">
      <w:pPr>
        <w:rPr>
          <w:rFonts w:asciiTheme="majorHAnsi" w:hAnsiTheme="majorHAnsi"/>
        </w:rPr>
      </w:pPr>
    </w:p>
    <w:p w14:paraId="1FCD4091" w14:textId="043F753C" w:rsidR="00F60C8B" w:rsidRDefault="004B62D3" w:rsidP="00BB64DB">
      <w:pPr>
        <w:numPr>
          <w:ilvl w:val="0"/>
          <w:numId w:val="7"/>
        </w:numPr>
        <w:rPr>
          <w:rFonts w:asciiTheme="majorHAnsi" w:hAnsiTheme="majorHAnsi"/>
        </w:rPr>
      </w:pPr>
      <w:r>
        <w:rPr>
          <w:rFonts w:asciiTheme="majorHAnsi" w:hAnsiTheme="majorHAnsi"/>
        </w:rPr>
        <w:t>Action Items</w:t>
      </w:r>
    </w:p>
    <w:p w14:paraId="063F0D47" w14:textId="12135CC5" w:rsidR="003B440A" w:rsidRDefault="00D55C94" w:rsidP="00BB64DB">
      <w:pPr>
        <w:numPr>
          <w:ilvl w:val="1"/>
          <w:numId w:val="7"/>
        </w:numPr>
        <w:rPr>
          <w:rFonts w:asciiTheme="majorHAnsi" w:hAnsiTheme="majorHAnsi"/>
        </w:rPr>
      </w:pPr>
      <w:r>
        <w:rPr>
          <w:rFonts w:asciiTheme="majorHAnsi" w:hAnsiTheme="majorHAnsi"/>
        </w:rPr>
        <w:t>Resolutions</w:t>
      </w:r>
    </w:p>
    <w:p w14:paraId="01A9D749" w14:textId="3FE915D0" w:rsidR="00F77ACB" w:rsidRDefault="00940A25" w:rsidP="00940A25">
      <w:pPr>
        <w:numPr>
          <w:ilvl w:val="2"/>
          <w:numId w:val="7"/>
        </w:numPr>
        <w:rPr>
          <w:rFonts w:asciiTheme="majorHAnsi" w:hAnsiTheme="majorHAnsi"/>
        </w:rPr>
      </w:pPr>
      <w:r>
        <w:rPr>
          <w:rFonts w:asciiTheme="majorHAnsi" w:hAnsiTheme="majorHAnsi"/>
        </w:rPr>
        <w:t>2019 Fall Plenary Session</w:t>
      </w:r>
      <w:r w:rsidR="00F77ACB">
        <w:rPr>
          <w:rFonts w:asciiTheme="majorHAnsi" w:hAnsiTheme="majorHAnsi"/>
        </w:rPr>
        <w:t xml:space="preserve"> </w:t>
      </w:r>
      <w:hyperlink r:id="rId12" w:history="1">
        <w:r w:rsidR="00F77ACB" w:rsidRPr="00F77ACB">
          <w:rPr>
            <w:rStyle w:val="Hyperlink"/>
            <w:rFonts w:asciiTheme="majorHAnsi" w:hAnsiTheme="majorHAnsi"/>
          </w:rPr>
          <w:t>RESOLUTIONS for DEBATE 11.9.2019</w:t>
        </w:r>
      </w:hyperlink>
      <w:bookmarkStart w:id="0" w:name="_GoBack"/>
      <w:bookmarkEnd w:id="0"/>
      <w:r w:rsidR="003B340C">
        <w:rPr>
          <w:rFonts w:asciiTheme="majorHAnsi" w:hAnsiTheme="majorHAnsi"/>
        </w:rPr>
        <w:t xml:space="preserve"> </w:t>
      </w:r>
    </w:p>
    <w:p w14:paraId="25B2FC38" w14:textId="633DD3C7" w:rsidR="00940A25" w:rsidRDefault="003B340C" w:rsidP="00940A25">
      <w:pPr>
        <w:numPr>
          <w:ilvl w:val="2"/>
          <w:numId w:val="7"/>
        </w:numPr>
        <w:rPr>
          <w:rFonts w:asciiTheme="majorHAnsi" w:hAnsiTheme="majorHAnsi"/>
        </w:rPr>
      </w:pPr>
      <w:r>
        <w:rPr>
          <w:rFonts w:asciiTheme="majorHAnsi" w:hAnsiTheme="majorHAnsi"/>
        </w:rPr>
        <w:t xml:space="preserve">Resolution </w:t>
      </w:r>
      <w:r w:rsidR="00F77ACB">
        <w:rPr>
          <w:rFonts w:asciiTheme="majorHAnsi" w:hAnsiTheme="majorHAnsi"/>
        </w:rPr>
        <w:t xml:space="preserve">F19 </w:t>
      </w:r>
      <w:r>
        <w:rPr>
          <w:rFonts w:asciiTheme="majorHAnsi" w:hAnsiTheme="majorHAnsi"/>
        </w:rPr>
        <w:t>19.01</w:t>
      </w:r>
      <w:r w:rsidR="00F77ACB">
        <w:rPr>
          <w:rFonts w:asciiTheme="majorHAnsi" w:hAnsiTheme="majorHAnsi"/>
        </w:rPr>
        <w:t xml:space="preserve"> *see end of agenda </w:t>
      </w:r>
    </w:p>
    <w:p w14:paraId="4E190613" w14:textId="4B6CE4ED" w:rsidR="00F60C8B" w:rsidRDefault="004B62D3" w:rsidP="00F60C8B">
      <w:pPr>
        <w:pStyle w:val="ListParagraph"/>
        <w:numPr>
          <w:ilvl w:val="1"/>
          <w:numId w:val="7"/>
        </w:numPr>
        <w:rPr>
          <w:rFonts w:asciiTheme="majorHAnsi" w:hAnsiTheme="majorHAnsi"/>
        </w:rPr>
      </w:pPr>
      <w:r>
        <w:rPr>
          <w:rFonts w:asciiTheme="majorHAnsi" w:hAnsiTheme="majorHAnsi"/>
        </w:rPr>
        <w:t>Assigned Tasks</w:t>
      </w:r>
    </w:p>
    <w:p w14:paraId="28CAF54E" w14:textId="77777777" w:rsidR="00940A25" w:rsidRDefault="00906D5E" w:rsidP="003B440A">
      <w:pPr>
        <w:pStyle w:val="ListParagraph"/>
        <w:numPr>
          <w:ilvl w:val="2"/>
          <w:numId w:val="7"/>
        </w:numPr>
        <w:rPr>
          <w:rFonts w:asciiTheme="majorHAnsi" w:hAnsiTheme="majorHAnsi"/>
        </w:rPr>
      </w:pPr>
      <w:r>
        <w:rPr>
          <w:rFonts w:asciiTheme="majorHAnsi" w:hAnsiTheme="majorHAnsi"/>
        </w:rPr>
        <w:t xml:space="preserve">Engage CTE Liaisons: </w:t>
      </w:r>
    </w:p>
    <w:p w14:paraId="636FB731" w14:textId="21875571" w:rsidR="00940A25" w:rsidRDefault="00940A25" w:rsidP="00940A25">
      <w:pPr>
        <w:pStyle w:val="ListParagraph"/>
        <w:numPr>
          <w:ilvl w:val="3"/>
          <w:numId w:val="7"/>
        </w:numPr>
        <w:rPr>
          <w:rFonts w:asciiTheme="majorHAnsi" w:hAnsiTheme="majorHAnsi"/>
        </w:rPr>
      </w:pPr>
      <w:r>
        <w:rPr>
          <w:rFonts w:asciiTheme="majorHAnsi" w:hAnsiTheme="majorHAnsi"/>
        </w:rPr>
        <w:t xml:space="preserve">November Memo </w:t>
      </w:r>
      <w:r w:rsidR="003B340C">
        <w:rPr>
          <w:rFonts w:asciiTheme="majorHAnsi" w:hAnsiTheme="majorHAnsi"/>
        </w:rPr>
        <w:t>feedback</w:t>
      </w:r>
      <w:r w:rsidR="00D55C78">
        <w:rPr>
          <w:rFonts w:asciiTheme="majorHAnsi" w:hAnsiTheme="majorHAnsi"/>
        </w:rPr>
        <w:t>- attachment</w:t>
      </w:r>
    </w:p>
    <w:p w14:paraId="5FE5A4DE" w14:textId="1830C691" w:rsidR="00812051" w:rsidRDefault="00812051" w:rsidP="00940A25">
      <w:pPr>
        <w:pStyle w:val="ListParagraph"/>
        <w:numPr>
          <w:ilvl w:val="3"/>
          <w:numId w:val="7"/>
        </w:numPr>
        <w:rPr>
          <w:rFonts w:asciiTheme="majorHAnsi" w:hAnsiTheme="majorHAnsi"/>
        </w:rPr>
      </w:pPr>
      <w:r>
        <w:rPr>
          <w:rFonts w:asciiTheme="majorHAnsi" w:hAnsiTheme="majorHAnsi"/>
        </w:rPr>
        <w:t>January memo-</w:t>
      </w:r>
    </w:p>
    <w:p w14:paraId="223E6F2F" w14:textId="7B00A7BD" w:rsidR="00812051" w:rsidRDefault="00812051" w:rsidP="00812051">
      <w:pPr>
        <w:pStyle w:val="ListParagraph"/>
        <w:numPr>
          <w:ilvl w:val="4"/>
          <w:numId w:val="7"/>
        </w:numPr>
        <w:rPr>
          <w:rFonts w:asciiTheme="majorHAnsi" w:hAnsiTheme="majorHAnsi"/>
        </w:rPr>
      </w:pPr>
      <w:r>
        <w:rPr>
          <w:rFonts w:asciiTheme="majorHAnsi" w:hAnsiTheme="majorHAnsi"/>
        </w:rPr>
        <w:t>Focus on DATA?</w:t>
      </w:r>
    </w:p>
    <w:p w14:paraId="632FEFC6" w14:textId="7846B6E1" w:rsidR="00812051" w:rsidRDefault="00812051" w:rsidP="00812051">
      <w:pPr>
        <w:pStyle w:val="ListParagraph"/>
        <w:numPr>
          <w:ilvl w:val="4"/>
          <w:numId w:val="7"/>
        </w:numPr>
        <w:rPr>
          <w:rFonts w:asciiTheme="majorHAnsi" w:hAnsiTheme="majorHAnsi"/>
        </w:rPr>
      </w:pPr>
      <w:hyperlink r:id="rId13" w:history="1">
        <w:r w:rsidRPr="00812051">
          <w:rPr>
            <w:rStyle w:val="Hyperlink"/>
            <w:rFonts w:asciiTheme="majorHAnsi" w:hAnsiTheme="majorHAnsi"/>
          </w:rPr>
          <w:t>Data 101: Guiding Principles for Faculty</w:t>
        </w:r>
      </w:hyperlink>
    </w:p>
    <w:p w14:paraId="577DEBDB" w14:textId="4BE2D08C" w:rsidR="00812051" w:rsidRDefault="00812051" w:rsidP="00812051">
      <w:pPr>
        <w:pStyle w:val="ListParagraph"/>
        <w:numPr>
          <w:ilvl w:val="4"/>
          <w:numId w:val="7"/>
        </w:numPr>
        <w:rPr>
          <w:rFonts w:asciiTheme="majorHAnsi" w:hAnsiTheme="majorHAnsi"/>
        </w:rPr>
      </w:pPr>
      <w:hyperlink r:id="rId14" w:history="1">
        <w:r w:rsidRPr="00812051">
          <w:rPr>
            <w:rStyle w:val="Hyperlink"/>
            <w:rFonts w:asciiTheme="majorHAnsi" w:hAnsiTheme="majorHAnsi"/>
          </w:rPr>
          <w:t>Data 101: Guiding Principles- 10 Years Later</w:t>
        </w:r>
      </w:hyperlink>
    </w:p>
    <w:p w14:paraId="5767599C" w14:textId="1979C648" w:rsidR="00812051" w:rsidRDefault="00812051" w:rsidP="00812051">
      <w:pPr>
        <w:pStyle w:val="ListParagraph"/>
        <w:numPr>
          <w:ilvl w:val="4"/>
          <w:numId w:val="7"/>
        </w:numPr>
        <w:rPr>
          <w:rFonts w:asciiTheme="majorHAnsi" w:hAnsiTheme="majorHAnsi"/>
        </w:rPr>
      </w:pPr>
      <w:r>
        <w:rPr>
          <w:rFonts w:asciiTheme="majorHAnsi" w:hAnsiTheme="majorHAnsi"/>
        </w:rPr>
        <w:t>Additional relevant/useful links?</w:t>
      </w:r>
    </w:p>
    <w:p w14:paraId="1FC04798" w14:textId="4BB175CB" w:rsidR="00906D5E" w:rsidRDefault="00940A25" w:rsidP="00940A25">
      <w:pPr>
        <w:pStyle w:val="ListParagraph"/>
        <w:numPr>
          <w:ilvl w:val="3"/>
          <w:numId w:val="7"/>
        </w:numPr>
        <w:rPr>
          <w:rFonts w:asciiTheme="majorHAnsi" w:hAnsiTheme="majorHAnsi"/>
        </w:rPr>
      </w:pPr>
      <w:r>
        <w:rPr>
          <w:rFonts w:asciiTheme="majorHAnsi" w:hAnsiTheme="majorHAnsi"/>
        </w:rPr>
        <w:t>W</w:t>
      </w:r>
      <w:r w:rsidR="00906D5E">
        <w:rPr>
          <w:rFonts w:asciiTheme="majorHAnsi" w:hAnsiTheme="majorHAnsi"/>
        </w:rPr>
        <w:t>ebinar</w:t>
      </w:r>
      <w:r w:rsidR="003B340C">
        <w:rPr>
          <w:rFonts w:asciiTheme="majorHAnsi" w:hAnsiTheme="majorHAnsi"/>
        </w:rPr>
        <w:t xml:space="preserve">- </w:t>
      </w:r>
      <w:r w:rsidR="00812051">
        <w:rPr>
          <w:rFonts w:asciiTheme="majorHAnsi" w:hAnsiTheme="majorHAnsi"/>
        </w:rPr>
        <w:t>spring 2020 (TBD)</w:t>
      </w:r>
    </w:p>
    <w:p w14:paraId="3985E7CC" w14:textId="58E4189C" w:rsidR="003B340C" w:rsidRDefault="00F80612" w:rsidP="003B340C">
      <w:pPr>
        <w:pStyle w:val="ListParagraph"/>
        <w:numPr>
          <w:ilvl w:val="4"/>
          <w:numId w:val="7"/>
        </w:numPr>
        <w:rPr>
          <w:rFonts w:asciiTheme="majorHAnsi" w:hAnsiTheme="majorHAnsi"/>
        </w:rPr>
      </w:pPr>
      <w:hyperlink r:id="rId15" w:history="1">
        <w:r w:rsidR="003B340C" w:rsidRPr="00450600">
          <w:rPr>
            <w:rStyle w:val="Hyperlink"/>
            <w:rFonts w:asciiTheme="majorHAnsi" w:hAnsiTheme="majorHAnsi"/>
          </w:rPr>
          <w:t>CTE Toolkit</w:t>
        </w:r>
      </w:hyperlink>
      <w:r w:rsidR="003B340C">
        <w:rPr>
          <w:rFonts w:asciiTheme="majorHAnsi" w:hAnsiTheme="majorHAnsi"/>
        </w:rPr>
        <w:t xml:space="preserve"> Overview</w:t>
      </w:r>
    </w:p>
    <w:p w14:paraId="4B6B5CA9" w14:textId="55AE0DDB" w:rsidR="00F60C8B" w:rsidRDefault="00F60C8B" w:rsidP="00F60C8B">
      <w:pPr>
        <w:pStyle w:val="ListParagraph"/>
        <w:numPr>
          <w:ilvl w:val="1"/>
          <w:numId w:val="7"/>
        </w:numPr>
        <w:rPr>
          <w:rFonts w:asciiTheme="majorHAnsi" w:hAnsiTheme="majorHAnsi"/>
        </w:rPr>
      </w:pPr>
      <w:r>
        <w:rPr>
          <w:rFonts w:asciiTheme="majorHAnsi" w:hAnsiTheme="majorHAnsi"/>
        </w:rPr>
        <w:t>Meetings dates/times</w:t>
      </w:r>
    </w:p>
    <w:p w14:paraId="5641787B" w14:textId="3FA6ACBE" w:rsidR="00F60C8B" w:rsidRDefault="00F60C8B" w:rsidP="00F60C8B">
      <w:pPr>
        <w:pStyle w:val="ListParagraph"/>
        <w:numPr>
          <w:ilvl w:val="2"/>
          <w:numId w:val="7"/>
        </w:numPr>
        <w:rPr>
          <w:rFonts w:asciiTheme="majorHAnsi" w:hAnsiTheme="majorHAnsi"/>
        </w:rPr>
      </w:pPr>
      <w:r>
        <w:rPr>
          <w:rFonts w:asciiTheme="majorHAnsi" w:hAnsiTheme="majorHAnsi"/>
        </w:rPr>
        <w:t>Face-to-face</w:t>
      </w:r>
      <w:r w:rsidR="00940A25">
        <w:rPr>
          <w:rFonts w:asciiTheme="majorHAnsi" w:hAnsiTheme="majorHAnsi"/>
        </w:rPr>
        <w:t>: December 11</w:t>
      </w:r>
      <w:r w:rsidR="00940A25" w:rsidRPr="00940A25">
        <w:rPr>
          <w:rFonts w:asciiTheme="majorHAnsi" w:hAnsiTheme="majorHAnsi"/>
          <w:vertAlign w:val="superscript"/>
        </w:rPr>
        <w:t>th</w:t>
      </w:r>
      <w:r w:rsidR="00940A25">
        <w:rPr>
          <w:rFonts w:asciiTheme="majorHAnsi" w:hAnsiTheme="majorHAnsi"/>
        </w:rPr>
        <w:t>, 2019 from 9:00am – 3:00pm</w:t>
      </w:r>
    </w:p>
    <w:p w14:paraId="783DBBFA" w14:textId="1CD10633" w:rsidR="00812051" w:rsidRDefault="00812051" w:rsidP="00812051">
      <w:pPr>
        <w:pStyle w:val="ListParagraph"/>
        <w:numPr>
          <w:ilvl w:val="3"/>
          <w:numId w:val="7"/>
        </w:numPr>
        <w:rPr>
          <w:rFonts w:asciiTheme="majorHAnsi" w:hAnsiTheme="majorHAnsi"/>
        </w:rPr>
      </w:pPr>
      <w:r>
        <w:rPr>
          <w:rFonts w:asciiTheme="majorHAnsi" w:hAnsiTheme="majorHAnsi"/>
        </w:rPr>
        <w:t>Sacramento City College</w:t>
      </w:r>
    </w:p>
    <w:p w14:paraId="27DB1AC6" w14:textId="77777777" w:rsidR="00F60C8B" w:rsidRDefault="00F60C8B" w:rsidP="00F60C8B">
      <w:pPr>
        <w:pStyle w:val="ListParagraph"/>
        <w:ind w:left="1440"/>
        <w:rPr>
          <w:rFonts w:asciiTheme="majorHAnsi" w:hAnsiTheme="majorHAnsi"/>
        </w:rPr>
      </w:pPr>
    </w:p>
    <w:p w14:paraId="057BF818" w14:textId="77777777" w:rsidR="00B6112E" w:rsidRDefault="00103922" w:rsidP="00B6112E">
      <w:pPr>
        <w:pStyle w:val="ListParagraph"/>
        <w:numPr>
          <w:ilvl w:val="0"/>
          <w:numId w:val="7"/>
        </w:numPr>
        <w:rPr>
          <w:rFonts w:asciiTheme="majorHAnsi" w:hAnsiTheme="majorHAnsi"/>
        </w:rPr>
      </w:pPr>
      <w:r>
        <w:rPr>
          <w:rFonts w:asciiTheme="majorHAnsi" w:hAnsiTheme="majorHAnsi"/>
        </w:rPr>
        <w:t>CTE Leadership Priorities</w:t>
      </w:r>
    </w:p>
    <w:p w14:paraId="393112C4" w14:textId="5583BBC3" w:rsidR="00B6112E" w:rsidRPr="00B6112E" w:rsidRDefault="00F80612" w:rsidP="00B6112E">
      <w:pPr>
        <w:pStyle w:val="ListParagraph"/>
        <w:numPr>
          <w:ilvl w:val="1"/>
          <w:numId w:val="7"/>
        </w:numPr>
        <w:rPr>
          <w:rStyle w:val="Hyperlink"/>
          <w:rFonts w:asciiTheme="majorHAnsi" w:hAnsiTheme="majorHAnsi"/>
          <w:color w:val="auto"/>
        </w:rPr>
      </w:pPr>
      <w:hyperlink r:id="rId16" w:history="1">
        <w:r w:rsidR="00B6112E" w:rsidRPr="00B6112E">
          <w:rPr>
            <w:rStyle w:val="Hyperlink"/>
            <w:rFonts w:asciiTheme="majorHAnsi" w:hAnsiTheme="majorHAnsi"/>
          </w:rPr>
          <w:t>Career</w:t>
        </w:r>
        <w:r w:rsidR="00B6112E">
          <w:rPr>
            <w:rStyle w:val="Hyperlink"/>
            <w:rFonts w:asciiTheme="majorHAnsi" w:hAnsiTheme="majorHAnsi"/>
          </w:rPr>
          <w:t xml:space="preserve"> and </w:t>
        </w:r>
        <w:r w:rsidR="00B6112E" w:rsidRPr="00B6112E">
          <w:rPr>
            <w:rStyle w:val="Hyperlink"/>
            <w:rFonts w:asciiTheme="majorHAnsi" w:hAnsiTheme="majorHAnsi"/>
          </w:rPr>
          <w:t>Non</w:t>
        </w:r>
        <w:r w:rsidR="00B6112E">
          <w:rPr>
            <w:rStyle w:val="Hyperlink"/>
            <w:rFonts w:asciiTheme="majorHAnsi" w:hAnsiTheme="majorHAnsi"/>
          </w:rPr>
          <w:t>c</w:t>
        </w:r>
        <w:r w:rsidR="00B6112E" w:rsidRPr="00B6112E">
          <w:rPr>
            <w:rStyle w:val="Hyperlink"/>
            <w:rFonts w:asciiTheme="majorHAnsi" w:hAnsiTheme="majorHAnsi"/>
          </w:rPr>
          <w:t xml:space="preserve">redit </w:t>
        </w:r>
        <w:r w:rsidR="00B6112E">
          <w:rPr>
            <w:rStyle w:val="Hyperlink"/>
            <w:rFonts w:asciiTheme="majorHAnsi" w:hAnsiTheme="majorHAnsi"/>
          </w:rPr>
          <w:t xml:space="preserve">Education </w:t>
        </w:r>
        <w:r w:rsidR="00B6112E" w:rsidRPr="00B6112E">
          <w:rPr>
            <w:rStyle w:val="Hyperlink"/>
            <w:rFonts w:asciiTheme="majorHAnsi" w:hAnsiTheme="majorHAnsi"/>
          </w:rPr>
          <w:t>Institute</w:t>
        </w:r>
      </w:hyperlink>
    </w:p>
    <w:p w14:paraId="373463AB" w14:textId="7FE96E15" w:rsidR="00B452D8" w:rsidRPr="00B6112E" w:rsidRDefault="00B452D8" w:rsidP="00B6112E">
      <w:pPr>
        <w:pStyle w:val="ListParagraph"/>
        <w:numPr>
          <w:ilvl w:val="2"/>
          <w:numId w:val="7"/>
        </w:numPr>
        <w:rPr>
          <w:rFonts w:asciiTheme="majorHAnsi" w:hAnsiTheme="majorHAnsi"/>
        </w:rPr>
      </w:pPr>
      <w:r w:rsidRPr="00B6112E">
        <w:rPr>
          <w:rFonts w:asciiTheme="majorHAnsi" w:hAnsiTheme="majorHAnsi"/>
        </w:rPr>
        <w:t>April 30</w:t>
      </w:r>
      <w:r w:rsidRPr="00B6112E">
        <w:rPr>
          <w:rFonts w:asciiTheme="majorHAnsi" w:hAnsiTheme="majorHAnsi"/>
          <w:vertAlign w:val="superscript"/>
        </w:rPr>
        <w:t>th</w:t>
      </w:r>
      <w:r w:rsidRPr="00B6112E">
        <w:rPr>
          <w:rFonts w:asciiTheme="majorHAnsi" w:hAnsiTheme="majorHAnsi"/>
        </w:rPr>
        <w:t xml:space="preserve"> – May 2</w:t>
      </w:r>
      <w:r w:rsidRPr="00B6112E">
        <w:rPr>
          <w:rFonts w:asciiTheme="majorHAnsi" w:hAnsiTheme="majorHAnsi"/>
          <w:vertAlign w:val="superscript"/>
        </w:rPr>
        <w:t>nd</w:t>
      </w:r>
      <w:r w:rsidRPr="00B6112E">
        <w:rPr>
          <w:rFonts w:asciiTheme="majorHAnsi" w:hAnsiTheme="majorHAnsi"/>
        </w:rPr>
        <w:t xml:space="preserve"> 2020</w:t>
      </w:r>
      <w:r w:rsidR="00940A25" w:rsidRPr="00B6112E">
        <w:rPr>
          <w:rFonts w:asciiTheme="majorHAnsi" w:hAnsiTheme="majorHAnsi"/>
        </w:rPr>
        <w:t xml:space="preserve"> </w:t>
      </w:r>
    </w:p>
    <w:p w14:paraId="66A8048D" w14:textId="7BB7B7B2" w:rsidR="003B340C" w:rsidRDefault="00940A25" w:rsidP="003B340C">
      <w:pPr>
        <w:pStyle w:val="ListParagraph"/>
        <w:numPr>
          <w:ilvl w:val="2"/>
          <w:numId w:val="7"/>
        </w:numPr>
        <w:rPr>
          <w:rFonts w:asciiTheme="majorHAnsi" w:hAnsiTheme="majorHAnsi"/>
        </w:rPr>
      </w:pPr>
      <w:r w:rsidRPr="003B340C">
        <w:rPr>
          <w:rFonts w:asciiTheme="majorHAnsi" w:hAnsiTheme="majorHAnsi"/>
        </w:rPr>
        <w:t>Attendance confirmation</w:t>
      </w:r>
      <w:r w:rsidR="003B340C" w:rsidRPr="003B340C">
        <w:rPr>
          <w:rFonts w:asciiTheme="majorHAnsi" w:hAnsiTheme="majorHAnsi"/>
        </w:rPr>
        <w:t xml:space="preserve"> </w:t>
      </w:r>
    </w:p>
    <w:p w14:paraId="520F3354" w14:textId="4129B4D1" w:rsidR="003B340C" w:rsidRDefault="00812051" w:rsidP="003B340C">
      <w:pPr>
        <w:pStyle w:val="ListParagraph"/>
        <w:numPr>
          <w:ilvl w:val="2"/>
          <w:numId w:val="7"/>
        </w:numPr>
        <w:rPr>
          <w:rFonts w:asciiTheme="majorHAnsi" w:hAnsiTheme="majorHAnsi"/>
        </w:rPr>
      </w:pPr>
      <w:r>
        <w:rPr>
          <w:rFonts w:asciiTheme="majorHAnsi" w:hAnsiTheme="majorHAnsi"/>
        </w:rPr>
        <w:t xml:space="preserve">TENTATIVE </w:t>
      </w:r>
      <w:r w:rsidR="003B340C">
        <w:rPr>
          <w:rFonts w:asciiTheme="majorHAnsi" w:hAnsiTheme="majorHAnsi"/>
        </w:rPr>
        <w:t>Focus</w:t>
      </w:r>
      <w:r w:rsidR="0004629B">
        <w:rPr>
          <w:rFonts w:asciiTheme="majorHAnsi" w:hAnsiTheme="majorHAnsi"/>
        </w:rPr>
        <w:t>?</w:t>
      </w:r>
      <w:r>
        <w:rPr>
          <w:rFonts w:asciiTheme="majorHAnsi" w:hAnsiTheme="majorHAnsi"/>
        </w:rPr>
        <w:t xml:space="preserve"> </w:t>
      </w:r>
      <w:r w:rsidR="003B340C">
        <w:rPr>
          <w:rFonts w:asciiTheme="majorHAnsi" w:hAnsiTheme="majorHAnsi"/>
        </w:rPr>
        <w:t>Faculty Diversification, Shared Governance, Guided Pathways</w:t>
      </w:r>
      <w:r>
        <w:rPr>
          <w:rFonts w:asciiTheme="majorHAnsi" w:hAnsiTheme="majorHAnsi"/>
        </w:rPr>
        <w:t>, Data</w:t>
      </w:r>
    </w:p>
    <w:p w14:paraId="65133B60" w14:textId="3FA0BD56" w:rsidR="003B340C" w:rsidRPr="00DE38BD" w:rsidRDefault="003B340C" w:rsidP="00DE38BD">
      <w:pPr>
        <w:pStyle w:val="NoSpacing"/>
        <w:rPr>
          <w:rFonts w:asciiTheme="majorHAnsi" w:hAnsiTheme="majorHAnsi" w:cstheme="majorHAnsi"/>
          <w:i/>
          <w:iCs/>
          <w:szCs w:val="24"/>
        </w:rPr>
      </w:pPr>
      <w:bookmarkStart w:id="1" w:name="_Hlk21070100"/>
      <w:r w:rsidRPr="003B340C">
        <w:rPr>
          <w:rFonts w:asciiTheme="majorHAnsi" w:hAnsiTheme="majorHAnsi" w:cstheme="majorHAnsi"/>
          <w:i/>
          <w:iCs/>
          <w:color w:val="000000"/>
          <w:szCs w:val="24"/>
          <w:bdr w:val="none" w:sz="0" w:space="0" w:color="auto" w:frame="1"/>
          <w:shd w:val="clear" w:color="auto" w:fill="FFFFFF"/>
        </w:rPr>
        <w:lastRenderedPageBreak/>
        <w:t>ASCCC Career and Technical Education (CTE) Leadership and Noncredit Committees are pleased to announce the 2020 Career and Noncredit Institute designed for all career and noncredit faculty, ASCCC Liaisons, academic senates, student services professionals, administrators, and system partners.</w:t>
      </w:r>
      <w:r w:rsidRPr="003B340C">
        <w:rPr>
          <w:rFonts w:asciiTheme="majorHAnsi" w:hAnsiTheme="majorHAnsi" w:cstheme="majorHAnsi"/>
          <w:b/>
          <w:bCs/>
          <w:i/>
          <w:iCs/>
          <w:color w:val="000000"/>
          <w:szCs w:val="24"/>
          <w:bdr w:val="none" w:sz="0" w:space="0" w:color="auto" w:frame="1"/>
          <w:shd w:val="clear" w:color="auto" w:fill="FFFFFF"/>
        </w:rPr>
        <w:t xml:space="preserve"> </w:t>
      </w:r>
      <w:bookmarkEnd w:id="1"/>
      <w:r w:rsidRPr="003B340C">
        <w:rPr>
          <w:rFonts w:asciiTheme="majorHAnsi" w:hAnsiTheme="majorHAnsi" w:cstheme="majorHAnsi"/>
          <w:i/>
          <w:iCs/>
          <w:color w:val="000000"/>
          <w:szCs w:val="24"/>
          <w:bdr w:val="none" w:sz="0" w:space="0" w:color="auto" w:frame="1"/>
          <w:shd w:val="clear" w:color="auto" w:fill="FFFFFF"/>
        </w:rPr>
        <w:t>The California Community College system is undergoing a period of transformation, with much attention focused on student success. Where do Career and Technical Education (CTE) and Noncredit fit in to this complexity? This year’s institute focuses on all aspects of career and noncredit instruction and student services pertaining to the faculty role in governance, faculty diversification, guided pathways efforts</w:t>
      </w:r>
      <w:r w:rsidR="00812051">
        <w:rPr>
          <w:rFonts w:asciiTheme="majorHAnsi" w:hAnsiTheme="majorHAnsi" w:cstheme="majorHAnsi"/>
          <w:i/>
          <w:iCs/>
          <w:color w:val="000000"/>
          <w:szCs w:val="24"/>
          <w:bdr w:val="none" w:sz="0" w:space="0" w:color="auto" w:frame="1"/>
          <w:shd w:val="clear" w:color="auto" w:fill="FFFFFF"/>
        </w:rPr>
        <w:t>, and the principles of data</w:t>
      </w:r>
      <w:r w:rsidRPr="003B340C">
        <w:rPr>
          <w:rFonts w:asciiTheme="majorHAnsi" w:hAnsiTheme="majorHAnsi" w:cstheme="majorHAnsi"/>
          <w:i/>
          <w:iCs/>
          <w:szCs w:val="24"/>
        </w:rPr>
        <w:t xml:space="preserve">. </w:t>
      </w:r>
      <w:r w:rsidRPr="003B340C">
        <w:rPr>
          <w:rFonts w:asciiTheme="majorHAnsi" w:hAnsiTheme="majorHAnsi" w:cstheme="majorHAnsi"/>
          <w:b/>
          <w:bCs/>
          <w:i/>
          <w:iCs/>
          <w:szCs w:val="24"/>
        </w:rPr>
        <w:t>DRAFT</w:t>
      </w:r>
    </w:p>
    <w:p w14:paraId="622A744E" w14:textId="77777777" w:rsidR="00BF2B0F" w:rsidRDefault="00940A25" w:rsidP="00D55C78">
      <w:pPr>
        <w:pStyle w:val="ListParagraph"/>
        <w:numPr>
          <w:ilvl w:val="1"/>
          <w:numId w:val="7"/>
        </w:numPr>
        <w:rPr>
          <w:rFonts w:asciiTheme="majorHAnsi" w:hAnsiTheme="majorHAnsi"/>
        </w:rPr>
      </w:pPr>
      <w:r>
        <w:rPr>
          <w:rFonts w:asciiTheme="majorHAnsi" w:hAnsiTheme="majorHAnsi"/>
        </w:rPr>
        <w:t>ASCCC Travel Policy</w:t>
      </w:r>
    </w:p>
    <w:p w14:paraId="2E48ED49" w14:textId="6F854AA3" w:rsidR="00BF2B0F" w:rsidRPr="00BF2B0F" w:rsidRDefault="00BF2B0F" w:rsidP="00BF2B0F">
      <w:pPr>
        <w:pStyle w:val="ListParagraph"/>
        <w:numPr>
          <w:ilvl w:val="2"/>
          <w:numId w:val="7"/>
        </w:numPr>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"https://asccc.org/sites/default/files/SenateReimbursementForm2019%20address%20update%209.05.19.pdf" </w:instrText>
      </w:r>
      <w:r>
        <w:rPr>
          <w:rFonts w:asciiTheme="majorHAnsi" w:hAnsiTheme="majorHAnsi"/>
        </w:rPr>
      </w:r>
      <w:r>
        <w:rPr>
          <w:rFonts w:asciiTheme="majorHAnsi" w:hAnsiTheme="majorHAnsi"/>
        </w:rPr>
        <w:fldChar w:fldCharType="separate"/>
      </w:r>
      <w:r w:rsidRPr="00BF2B0F">
        <w:rPr>
          <w:rStyle w:val="Hyperlink"/>
          <w:rFonts w:asciiTheme="majorHAnsi" w:hAnsiTheme="majorHAnsi"/>
        </w:rPr>
        <w:t>Expense Reimbursement Form and Policy</w:t>
      </w:r>
    </w:p>
    <w:p w14:paraId="1E1C6E33" w14:textId="207FCEEF" w:rsidR="00B6112E" w:rsidRPr="00B61158" w:rsidRDefault="00BF2B0F" w:rsidP="00BF2B0F">
      <w:pPr>
        <w:pStyle w:val="ListParagraph"/>
        <w:numPr>
          <w:ilvl w:val="2"/>
          <w:numId w:val="7"/>
        </w:numPr>
        <w:rPr>
          <w:rStyle w:val="Hyperlink"/>
          <w:rFonts w:asciiTheme="majorHAnsi" w:hAnsiTheme="majorHAnsi"/>
        </w:rPr>
      </w:pPr>
      <w:r>
        <w:rPr>
          <w:rFonts w:asciiTheme="majorHAnsi" w:hAnsiTheme="majorHAnsi"/>
        </w:rPr>
        <w:fldChar w:fldCharType="end"/>
      </w:r>
      <w:r w:rsidR="00B61158">
        <w:rPr>
          <w:rFonts w:asciiTheme="majorHAnsi" w:hAnsiTheme="majorHAnsi"/>
        </w:rPr>
        <w:fldChar w:fldCharType="begin"/>
      </w:r>
      <w:r w:rsidR="00B61158">
        <w:rPr>
          <w:rFonts w:asciiTheme="majorHAnsi" w:hAnsiTheme="majorHAnsi"/>
        </w:rPr>
        <w:instrText xml:space="preserve"> HYPERLINK "https://www.asccc.org/content/flight-and-travel-request" </w:instrText>
      </w:r>
      <w:r w:rsidR="00B61158">
        <w:rPr>
          <w:rFonts w:asciiTheme="majorHAnsi" w:hAnsiTheme="majorHAnsi"/>
        </w:rPr>
      </w:r>
      <w:r w:rsidR="00B61158">
        <w:rPr>
          <w:rFonts w:asciiTheme="majorHAnsi" w:hAnsiTheme="majorHAnsi"/>
        </w:rPr>
        <w:fldChar w:fldCharType="separate"/>
      </w:r>
      <w:r w:rsidR="00B61158" w:rsidRPr="00B61158">
        <w:rPr>
          <w:rStyle w:val="Hyperlink"/>
          <w:rFonts w:asciiTheme="majorHAnsi" w:hAnsiTheme="majorHAnsi"/>
        </w:rPr>
        <w:t>Flight and Travel Request</w:t>
      </w:r>
    </w:p>
    <w:p w14:paraId="0DFF0B46" w14:textId="2879EE09" w:rsidR="00D55C78" w:rsidRPr="00D55C78" w:rsidRDefault="00B61158" w:rsidP="00D55C78">
      <w:pPr>
        <w:rPr>
          <w:rFonts w:asciiTheme="majorHAnsi" w:hAnsiTheme="majorHAnsi"/>
        </w:rPr>
      </w:pPr>
      <w:r>
        <w:rPr>
          <w:rFonts w:asciiTheme="majorHAnsi" w:hAnsiTheme="majorHAnsi"/>
        </w:rPr>
        <w:fldChar w:fldCharType="end"/>
      </w:r>
    </w:p>
    <w:p w14:paraId="6F55EAB5" w14:textId="1C73D28B" w:rsidR="002C20EF" w:rsidRDefault="00F60C8B" w:rsidP="00F720A3">
      <w:pPr>
        <w:numPr>
          <w:ilvl w:val="0"/>
          <w:numId w:val="7"/>
        </w:numPr>
        <w:rPr>
          <w:rFonts w:asciiTheme="majorHAnsi" w:hAnsiTheme="majorHAnsi"/>
        </w:rPr>
      </w:pPr>
      <w:r>
        <w:rPr>
          <w:rFonts w:asciiTheme="majorHAnsi" w:hAnsiTheme="majorHAnsi"/>
        </w:rPr>
        <w:t>Announcements</w:t>
      </w:r>
    </w:p>
    <w:p w14:paraId="338C44BE" w14:textId="29D2E34D" w:rsidR="001F1BA6" w:rsidRPr="00B6112E" w:rsidRDefault="00F80612" w:rsidP="00B6112E">
      <w:pPr>
        <w:numPr>
          <w:ilvl w:val="1"/>
          <w:numId w:val="7"/>
        </w:numPr>
        <w:rPr>
          <w:rFonts w:asciiTheme="majorHAnsi" w:hAnsiTheme="majorHAnsi"/>
        </w:rPr>
      </w:pPr>
      <w:hyperlink r:id="rId17" w:history="1">
        <w:r w:rsidR="00EA2C86" w:rsidRPr="00EA2C86">
          <w:rPr>
            <w:rStyle w:val="Hyperlink"/>
            <w:rFonts w:asciiTheme="majorHAnsi" w:hAnsiTheme="majorHAnsi"/>
          </w:rPr>
          <w:t>ASCCC EVENTS</w:t>
        </w:r>
      </w:hyperlink>
      <w:r w:rsidR="003B440A">
        <w:rPr>
          <w:rFonts w:asciiTheme="majorHAnsi" w:hAnsiTheme="majorHAnsi"/>
        </w:rPr>
        <w:t xml:space="preserve"> </w:t>
      </w:r>
    </w:p>
    <w:p w14:paraId="7404C5F4" w14:textId="7901B919" w:rsidR="00D55C78" w:rsidRDefault="00027722" w:rsidP="00D55C78">
      <w:pPr>
        <w:numPr>
          <w:ilvl w:val="1"/>
          <w:numId w:val="7"/>
        </w:numPr>
        <w:rPr>
          <w:rFonts w:asciiTheme="majorHAnsi" w:hAnsiTheme="majorHAnsi"/>
        </w:rPr>
      </w:pPr>
      <w:r>
        <w:rPr>
          <w:rFonts w:asciiTheme="majorHAnsi" w:hAnsiTheme="majorHAnsi"/>
        </w:rPr>
        <w:t>ASCCC</w:t>
      </w:r>
      <w:r w:rsidR="00635658">
        <w:rPr>
          <w:rFonts w:asciiTheme="majorHAnsi" w:hAnsiTheme="majorHAnsi"/>
        </w:rPr>
        <w:t>/Other</w:t>
      </w:r>
      <w:r>
        <w:rPr>
          <w:rFonts w:asciiTheme="majorHAnsi" w:hAnsiTheme="majorHAnsi"/>
        </w:rPr>
        <w:t xml:space="preserve"> </w:t>
      </w:r>
      <w:r w:rsidR="00D1754F">
        <w:rPr>
          <w:rFonts w:asciiTheme="majorHAnsi" w:hAnsiTheme="majorHAnsi"/>
        </w:rPr>
        <w:t>C</w:t>
      </w:r>
      <w:r>
        <w:rPr>
          <w:rFonts w:asciiTheme="majorHAnsi" w:hAnsiTheme="majorHAnsi"/>
        </w:rPr>
        <w:t xml:space="preserve">ommittee </w:t>
      </w:r>
      <w:r w:rsidR="003B340C">
        <w:rPr>
          <w:rFonts w:asciiTheme="majorHAnsi" w:hAnsiTheme="majorHAnsi"/>
        </w:rPr>
        <w:t xml:space="preserve">(tentative) </w:t>
      </w:r>
      <w:r w:rsidR="00D1754F">
        <w:rPr>
          <w:rFonts w:asciiTheme="majorHAnsi" w:hAnsiTheme="majorHAnsi"/>
        </w:rPr>
        <w:t>R</w:t>
      </w:r>
      <w:r>
        <w:rPr>
          <w:rFonts w:asciiTheme="majorHAnsi" w:hAnsiTheme="majorHAnsi"/>
        </w:rPr>
        <w:t>eport</w:t>
      </w:r>
      <w:r w:rsidR="00D55C78">
        <w:rPr>
          <w:rFonts w:asciiTheme="majorHAnsi" w:hAnsiTheme="majorHAnsi"/>
        </w:rPr>
        <w:t>s</w:t>
      </w:r>
    </w:p>
    <w:p w14:paraId="5226F209" w14:textId="77777777" w:rsidR="00D55C78" w:rsidRPr="00D55C78" w:rsidRDefault="00D55C78" w:rsidP="00D55C78">
      <w:pPr>
        <w:rPr>
          <w:rFonts w:asciiTheme="majorHAnsi" w:hAnsiTheme="majorHAnsi"/>
        </w:rPr>
      </w:pPr>
    </w:p>
    <w:p w14:paraId="665FAF9F" w14:textId="571E5E14" w:rsidR="00F720A3" w:rsidRPr="0004629B" w:rsidRDefault="0080639A" w:rsidP="0004629B">
      <w:pPr>
        <w:numPr>
          <w:ilvl w:val="0"/>
          <w:numId w:val="7"/>
        </w:numPr>
        <w:rPr>
          <w:rFonts w:asciiTheme="majorHAnsi" w:hAnsiTheme="majorHAnsi"/>
        </w:rPr>
      </w:pPr>
      <w:r w:rsidRPr="0045174E">
        <w:rPr>
          <w:rFonts w:asciiTheme="majorHAnsi" w:hAnsiTheme="majorHAnsi"/>
        </w:rPr>
        <w:t>Adjournment</w:t>
      </w:r>
      <w:r w:rsidR="00B423C2" w:rsidRPr="00B423C2">
        <w:rPr>
          <w:rFonts w:asciiTheme="majorHAnsi" w:hAnsiTheme="majorHAnsi"/>
          <w:b/>
        </w:rPr>
        <w:t xml:space="preserve"> </w:t>
      </w:r>
    </w:p>
    <w:p w14:paraId="28A89397" w14:textId="5169D2E4" w:rsidR="00F720A3" w:rsidRPr="002B186E" w:rsidRDefault="005D5088" w:rsidP="00F77ACB">
      <w:pPr>
        <w:jc w:val="center"/>
        <w:rPr>
          <w:rFonts w:asciiTheme="majorHAnsi" w:hAnsiTheme="majorHAnsi"/>
          <w:b/>
        </w:rPr>
      </w:pPr>
      <w:r w:rsidRPr="004B62D3">
        <w:rPr>
          <w:rFonts w:asciiTheme="majorHAnsi" w:hAnsiTheme="majorHAnsi"/>
          <w:b/>
        </w:rPr>
        <w:t>Status of Previous Action Items</w:t>
      </w:r>
    </w:p>
    <w:p w14:paraId="4023AB03" w14:textId="77777777" w:rsidR="0004629B" w:rsidRDefault="004B62D3" w:rsidP="00576C85">
      <w:pPr>
        <w:pStyle w:val="ListParagraph"/>
        <w:numPr>
          <w:ilvl w:val="0"/>
          <w:numId w:val="10"/>
        </w:numPr>
        <w:rPr>
          <w:rFonts w:asciiTheme="majorHAnsi" w:hAnsiTheme="majorHAnsi"/>
          <w:b/>
        </w:rPr>
      </w:pPr>
      <w:r w:rsidRPr="00F720A3">
        <w:rPr>
          <w:rFonts w:asciiTheme="majorHAnsi" w:hAnsiTheme="majorHAnsi"/>
          <w:b/>
        </w:rPr>
        <w:t>In Progress</w:t>
      </w:r>
    </w:p>
    <w:p w14:paraId="63ABB0AE" w14:textId="5BB6A75C" w:rsidR="0004629B" w:rsidRDefault="0004629B" w:rsidP="0004629B">
      <w:pPr>
        <w:pStyle w:val="ListParagraph"/>
        <w:numPr>
          <w:ilvl w:val="1"/>
          <w:numId w:val="10"/>
        </w:numPr>
        <w:rPr>
          <w:rFonts w:asciiTheme="majorHAnsi" w:hAnsiTheme="majorHAnsi"/>
          <w:bCs/>
        </w:rPr>
      </w:pPr>
      <w:r w:rsidRPr="0004629B">
        <w:rPr>
          <w:rFonts w:asciiTheme="majorHAnsi" w:hAnsiTheme="majorHAnsi"/>
          <w:bCs/>
        </w:rPr>
        <w:t xml:space="preserve">CTE Minimum Qualifications </w:t>
      </w:r>
      <w:r w:rsidR="00390B23">
        <w:rPr>
          <w:rFonts w:asciiTheme="majorHAnsi" w:hAnsiTheme="majorHAnsi"/>
          <w:bCs/>
        </w:rPr>
        <w:t xml:space="preserve">Toolkit </w:t>
      </w:r>
      <w:r w:rsidRPr="0004629B">
        <w:rPr>
          <w:rFonts w:asciiTheme="majorHAnsi" w:hAnsiTheme="majorHAnsi"/>
          <w:bCs/>
        </w:rPr>
        <w:t>Overview</w:t>
      </w:r>
      <w:r w:rsidR="00390B23">
        <w:rPr>
          <w:rFonts w:asciiTheme="majorHAnsi" w:hAnsiTheme="majorHAnsi"/>
          <w:bCs/>
        </w:rPr>
        <w:t>: w</w:t>
      </w:r>
      <w:r w:rsidRPr="0004629B">
        <w:rPr>
          <w:rFonts w:asciiTheme="majorHAnsi" w:hAnsiTheme="majorHAnsi"/>
          <w:bCs/>
        </w:rPr>
        <w:t>ebinar</w:t>
      </w:r>
    </w:p>
    <w:p w14:paraId="4A04D04A" w14:textId="21A26A81" w:rsidR="0004629B" w:rsidRPr="0004629B" w:rsidRDefault="0004629B" w:rsidP="0004629B">
      <w:pPr>
        <w:pStyle w:val="ListParagraph"/>
        <w:numPr>
          <w:ilvl w:val="1"/>
          <w:numId w:val="10"/>
        </w:numPr>
        <w:rPr>
          <w:rFonts w:asciiTheme="majorHAnsi" w:hAnsiTheme="majorHAnsi"/>
          <w:bCs/>
        </w:rPr>
      </w:pPr>
      <w:r>
        <w:rPr>
          <w:rFonts w:asciiTheme="majorHAnsi" w:hAnsiTheme="majorHAnsi"/>
          <w:bCs/>
        </w:rPr>
        <w:t>CTE Liaison memos</w:t>
      </w:r>
    </w:p>
    <w:p w14:paraId="5D84EABF" w14:textId="59C1099C" w:rsidR="004B62D3" w:rsidRPr="0004629B" w:rsidRDefault="0004629B" w:rsidP="0004629B">
      <w:pPr>
        <w:pStyle w:val="ListParagraph"/>
        <w:numPr>
          <w:ilvl w:val="1"/>
          <w:numId w:val="10"/>
        </w:numPr>
        <w:rPr>
          <w:rFonts w:asciiTheme="majorHAnsi" w:hAnsiTheme="majorHAnsi"/>
          <w:bCs/>
        </w:rPr>
      </w:pPr>
      <w:r w:rsidRPr="0004629B">
        <w:rPr>
          <w:rFonts w:asciiTheme="majorHAnsi" w:hAnsiTheme="majorHAnsi"/>
          <w:bCs/>
        </w:rPr>
        <w:t>C/NC</w:t>
      </w:r>
      <w:r w:rsidR="00FA4F3C">
        <w:rPr>
          <w:rFonts w:asciiTheme="majorHAnsi" w:hAnsiTheme="majorHAnsi"/>
          <w:bCs/>
        </w:rPr>
        <w:t xml:space="preserve"> Education</w:t>
      </w:r>
      <w:r w:rsidRPr="0004629B">
        <w:rPr>
          <w:rFonts w:asciiTheme="majorHAnsi" w:hAnsiTheme="majorHAnsi"/>
          <w:bCs/>
        </w:rPr>
        <w:t xml:space="preserve"> Institute Planning</w:t>
      </w:r>
      <w:r w:rsidR="00F720A3" w:rsidRPr="0004629B">
        <w:rPr>
          <w:rFonts w:asciiTheme="majorHAnsi" w:hAnsiTheme="majorHAnsi"/>
          <w:bCs/>
        </w:rPr>
        <w:t xml:space="preserve"> </w:t>
      </w:r>
    </w:p>
    <w:p w14:paraId="1935B993" w14:textId="77777777" w:rsidR="00D66C18" w:rsidRPr="00F720A3" w:rsidRDefault="00D66C18" w:rsidP="002B186E">
      <w:pPr>
        <w:rPr>
          <w:rFonts w:asciiTheme="majorHAnsi" w:hAnsiTheme="majorHAnsi"/>
        </w:rPr>
      </w:pPr>
    </w:p>
    <w:p w14:paraId="43FFF3C4" w14:textId="77777777" w:rsidR="00F77ACB" w:rsidRDefault="004B62D3" w:rsidP="00F77ACB">
      <w:pPr>
        <w:pStyle w:val="ListParagraph"/>
        <w:numPr>
          <w:ilvl w:val="0"/>
          <w:numId w:val="10"/>
        </w:numPr>
        <w:rPr>
          <w:rFonts w:asciiTheme="majorHAnsi" w:hAnsiTheme="majorHAnsi"/>
          <w:b/>
        </w:rPr>
      </w:pPr>
      <w:r w:rsidRPr="00F720A3">
        <w:rPr>
          <w:rFonts w:asciiTheme="majorHAnsi" w:hAnsiTheme="majorHAnsi"/>
          <w:b/>
        </w:rPr>
        <w:t xml:space="preserve">Completed </w:t>
      </w:r>
    </w:p>
    <w:p w14:paraId="0C5C710E" w14:textId="77777777" w:rsidR="00F77ACB" w:rsidRDefault="00F77ACB" w:rsidP="00F77ACB">
      <w:pPr>
        <w:rPr>
          <w:rFonts w:asciiTheme="majorHAnsi" w:hAnsiTheme="majorHAnsi" w:cstheme="majorHAnsi"/>
          <w:b/>
          <w:bCs/>
          <w:sz w:val="20"/>
          <w:szCs w:val="20"/>
        </w:rPr>
      </w:pPr>
    </w:p>
    <w:p w14:paraId="40F966B0" w14:textId="4E722759" w:rsidR="00F77ACB" w:rsidRPr="00F77ACB" w:rsidRDefault="00F77ACB" w:rsidP="00F77ACB">
      <w:pPr>
        <w:rPr>
          <w:rFonts w:asciiTheme="majorHAnsi" w:hAnsiTheme="majorHAnsi" w:cstheme="majorHAnsi"/>
          <w:b/>
          <w:sz w:val="20"/>
          <w:szCs w:val="20"/>
        </w:rPr>
      </w:pPr>
      <w:r w:rsidRPr="00F77ACB">
        <w:rPr>
          <w:rFonts w:asciiTheme="majorHAnsi" w:hAnsiTheme="majorHAnsi" w:cstheme="majorHAnsi"/>
          <w:b/>
          <w:bCs/>
          <w:sz w:val="20"/>
          <w:szCs w:val="20"/>
        </w:rPr>
        <w:t xml:space="preserve">19.01 F19 Encourage Utilization of Career Technical Education Faculty Minimum Qualifications Toolkit Resources for Hiring in Career Technical Education Disciplines </w:t>
      </w:r>
    </w:p>
    <w:p w14:paraId="714F580F" w14:textId="77777777" w:rsidR="00F77ACB" w:rsidRDefault="00F77ACB" w:rsidP="00F77ACB">
      <w:pPr>
        <w:rPr>
          <w:rFonts w:asciiTheme="majorHAnsi" w:hAnsiTheme="majorHAnsi" w:cstheme="majorHAnsi"/>
          <w:sz w:val="20"/>
          <w:szCs w:val="20"/>
        </w:rPr>
      </w:pPr>
    </w:p>
    <w:p w14:paraId="10353A20" w14:textId="1D877990" w:rsidR="00F77ACB" w:rsidRPr="00F77ACB" w:rsidRDefault="00F77ACB" w:rsidP="00F77ACB">
      <w:pPr>
        <w:rPr>
          <w:rFonts w:asciiTheme="majorHAnsi" w:hAnsiTheme="majorHAnsi" w:cstheme="majorHAnsi"/>
          <w:sz w:val="20"/>
          <w:szCs w:val="20"/>
        </w:rPr>
      </w:pPr>
      <w:r w:rsidRPr="00F77ACB">
        <w:rPr>
          <w:rFonts w:asciiTheme="majorHAnsi" w:hAnsiTheme="majorHAnsi" w:cstheme="majorHAnsi"/>
          <w:b/>
          <w:bCs/>
          <w:sz w:val="20"/>
          <w:szCs w:val="20"/>
        </w:rPr>
        <w:t>Whereas,</w:t>
      </w:r>
      <w:r w:rsidRPr="00F77ACB">
        <w:rPr>
          <w:rFonts w:asciiTheme="majorHAnsi" w:hAnsiTheme="majorHAnsi" w:cstheme="majorHAnsi"/>
          <w:sz w:val="20"/>
          <w:szCs w:val="20"/>
        </w:rPr>
        <w:t xml:space="preserve"> Use of equivalency to minimum qualifications for employment is allowed by California Education Code §87359, and the “agreed upon process shall include reasonable procedures to ensure that the governing board relies primarily upon the advice and judgment of the academic senate to determine that each individual faculty member employed under the authority granted by the regulations possesses qualifications that are at least equivalent to the applicable minimum qualifications”; </w:t>
      </w:r>
    </w:p>
    <w:p w14:paraId="0A3B4BC1" w14:textId="3384DEAB" w:rsidR="00F77ACB" w:rsidRPr="00F77ACB" w:rsidRDefault="00F77ACB" w:rsidP="00F77ACB">
      <w:pPr>
        <w:rPr>
          <w:rFonts w:asciiTheme="majorHAnsi" w:hAnsiTheme="majorHAnsi" w:cstheme="majorHAnsi"/>
          <w:sz w:val="20"/>
          <w:szCs w:val="20"/>
        </w:rPr>
      </w:pPr>
      <w:r w:rsidRPr="00F77ACB">
        <w:rPr>
          <w:rFonts w:asciiTheme="majorHAnsi" w:hAnsiTheme="majorHAnsi" w:cstheme="majorHAnsi"/>
          <w:b/>
          <w:bCs/>
          <w:sz w:val="20"/>
          <w:szCs w:val="20"/>
        </w:rPr>
        <w:t>Whereas,</w:t>
      </w:r>
      <w:r w:rsidRPr="00F77ACB">
        <w:rPr>
          <w:rFonts w:asciiTheme="majorHAnsi" w:hAnsiTheme="majorHAnsi" w:cstheme="majorHAnsi"/>
          <w:sz w:val="20"/>
          <w:szCs w:val="20"/>
        </w:rPr>
        <w:t xml:space="preserve"> The subjective nature of evaluating a candidate’s experience and training against the degrees and professional experience required to meet minimum qualifications makes it difficult for colleges to confidently apply the equivalency process to candidates with little to no formal academic education, especially in career technical education disciplines where industry professionals may be experts in their fields without having completed an associate’s degree; </w:t>
      </w:r>
    </w:p>
    <w:p w14:paraId="08A25152" w14:textId="0B5F195F" w:rsidR="00F77ACB" w:rsidRPr="00F77ACB" w:rsidRDefault="00F77ACB" w:rsidP="00F77ACB">
      <w:pPr>
        <w:rPr>
          <w:rFonts w:asciiTheme="majorHAnsi" w:hAnsiTheme="majorHAnsi" w:cstheme="majorHAnsi"/>
          <w:sz w:val="20"/>
          <w:szCs w:val="20"/>
        </w:rPr>
      </w:pPr>
      <w:r w:rsidRPr="00F77ACB">
        <w:rPr>
          <w:rFonts w:asciiTheme="majorHAnsi" w:hAnsiTheme="majorHAnsi" w:cstheme="majorHAnsi"/>
          <w:sz w:val="20"/>
          <w:szCs w:val="20"/>
        </w:rPr>
        <w:t xml:space="preserve">Whereas, Equivalency processes at California community colleges are locally established, vary widely, may or may not include a means for evaluating equivalency to the general education component of the associate’s degree, and may or may not include discipline faculty input or input from faculty qualified in related disciplines, particularly when hiring in CTE disciplines; and </w:t>
      </w:r>
    </w:p>
    <w:p w14:paraId="34EC74C8" w14:textId="5A5CFD6B" w:rsidR="00F77ACB" w:rsidRPr="00F77ACB" w:rsidRDefault="00F77ACB" w:rsidP="00F77ACB">
      <w:pPr>
        <w:rPr>
          <w:rFonts w:asciiTheme="majorHAnsi" w:hAnsiTheme="majorHAnsi" w:cstheme="majorHAnsi"/>
          <w:sz w:val="20"/>
          <w:szCs w:val="20"/>
        </w:rPr>
      </w:pPr>
      <w:r w:rsidRPr="00F77ACB">
        <w:rPr>
          <w:rFonts w:asciiTheme="majorHAnsi" w:hAnsiTheme="majorHAnsi" w:cstheme="majorHAnsi"/>
          <w:b/>
          <w:bCs/>
          <w:sz w:val="20"/>
          <w:szCs w:val="20"/>
        </w:rPr>
        <w:t>Whereas,</w:t>
      </w:r>
      <w:r w:rsidRPr="00F77ACB">
        <w:rPr>
          <w:rFonts w:asciiTheme="majorHAnsi" w:hAnsiTheme="majorHAnsi" w:cstheme="majorHAnsi"/>
          <w:sz w:val="20"/>
          <w:szCs w:val="20"/>
        </w:rPr>
        <w:t xml:space="preserve"> ASCCC Resolution 10.05 SP 2017 called for the Academic Senate for California Community Colleges “to develop and disseminate resources that empower local senates to evaluate and assess” the qualifications of faculty with significant professional experience but not necessarily sufficient academic preparation, and 2017- 2019 collaborations within the California Community Colleges Chancellor’s Office Career Technical Education Minimum Qualifications Task Force resulted in development and release of the Career Technical Education Faculty Minimum Qualifications Toolkit to aid colleges in determining equivalencies to the associate’s degree; </w:t>
      </w:r>
    </w:p>
    <w:p w14:paraId="5DCB95D4" w14:textId="3C72DCA5" w:rsidR="00F77ACB" w:rsidRPr="00F77ACB" w:rsidRDefault="00F77ACB" w:rsidP="00F77ACB">
      <w:pPr>
        <w:rPr>
          <w:rFonts w:asciiTheme="majorHAnsi" w:hAnsiTheme="majorHAnsi" w:cstheme="majorHAnsi"/>
          <w:sz w:val="20"/>
          <w:szCs w:val="20"/>
        </w:rPr>
      </w:pPr>
      <w:r w:rsidRPr="00F77ACB">
        <w:rPr>
          <w:rFonts w:asciiTheme="majorHAnsi" w:hAnsiTheme="majorHAnsi" w:cstheme="majorHAnsi"/>
          <w:b/>
          <w:bCs/>
          <w:sz w:val="20"/>
          <w:szCs w:val="20"/>
        </w:rPr>
        <w:t>Resolved,</w:t>
      </w:r>
      <w:r w:rsidRPr="00F77ACB">
        <w:rPr>
          <w:rFonts w:asciiTheme="majorHAnsi" w:hAnsiTheme="majorHAnsi" w:cstheme="majorHAnsi"/>
          <w:sz w:val="20"/>
          <w:szCs w:val="20"/>
        </w:rPr>
        <w:t xml:space="preserve"> That the Academic Senate for California Community Colleges work with faculty, equivalency committees, and other stakeholders to promote dissemination of equivalency resources within the Career Technical Education Faculty Minimum Qualifications Toolkit, including general education equivalency examples and effective equivalency practices; and </w:t>
      </w:r>
    </w:p>
    <w:p w14:paraId="4F49100B" w14:textId="4BFDAC66" w:rsidR="00F77ACB" w:rsidRPr="00F77ACB" w:rsidRDefault="00F77ACB" w:rsidP="00F77ACB">
      <w:pPr>
        <w:rPr>
          <w:rFonts w:asciiTheme="majorHAnsi" w:hAnsiTheme="majorHAnsi" w:cstheme="majorHAnsi"/>
          <w:sz w:val="20"/>
          <w:szCs w:val="20"/>
        </w:rPr>
      </w:pPr>
      <w:r w:rsidRPr="00F77ACB">
        <w:rPr>
          <w:rFonts w:asciiTheme="majorHAnsi" w:hAnsiTheme="majorHAnsi" w:cstheme="majorHAnsi"/>
          <w:b/>
          <w:bCs/>
          <w:sz w:val="20"/>
          <w:szCs w:val="20"/>
        </w:rPr>
        <w:t>Resolved,</w:t>
      </w:r>
      <w:r w:rsidRPr="00F77ACB">
        <w:rPr>
          <w:rFonts w:asciiTheme="majorHAnsi" w:hAnsiTheme="majorHAnsi" w:cstheme="majorHAnsi"/>
          <w:sz w:val="20"/>
          <w:szCs w:val="20"/>
        </w:rPr>
        <w:t xml:space="preserve"> That the Academic Senate for California Community Colleges work with faculty, equivalency committees, and other stakeholders to provide technical assistance to local academic senates and equivalency committees to aid in implementation of effective equivalency practices for determining equivalencies to the associate’s degree when hiring in career technical education disciplines.</w:t>
      </w:r>
    </w:p>
    <w:sectPr w:rsidR="00F77ACB" w:rsidRPr="00F77ACB" w:rsidSect="00A74A5F">
      <w:headerReference w:type="even" r:id="rId18"/>
      <w:headerReference w:type="default" r:id="rId19"/>
      <w:footerReference w:type="even" r:id="rId20"/>
      <w:footerReference w:type="default" r:id="rId21"/>
      <w:headerReference w:type="first" r:id="rId22"/>
      <w:footerReference w:type="first" r:id="rId23"/>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8004C" w14:textId="77777777" w:rsidR="00F80612" w:rsidRDefault="00F80612">
      <w:r>
        <w:separator/>
      </w:r>
    </w:p>
  </w:endnote>
  <w:endnote w:type="continuationSeparator" w:id="0">
    <w:p w14:paraId="2AC14E3F" w14:textId="77777777" w:rsidR="00F80612" w:rsidRDefault="00F8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6393" w14:textId="77777777" w:rsidR="00071CB9" w:rsidRDefault="00071C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4DF2" w14:textId="77777777" w:rsidR="00071CB9" w:rsidRDefault="00071C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8A4" w14:textId="77777777" w:rsidR="00071CB9" w:rsidRDefault="00071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1E8F2" w14:textId="77777777" w:rsidR="00F80612" w:rsidRDefault="00F80612">
      <w:r>
        <w:separator/>
      </w:r>
    </w:p>
  </w:footnote>
  <w:footnote w:type="continuationSeparator" w:id="0">
    <w:p w14:paraId="07FA17A8" w14:textId="77777777" w:rsidR="00F80612" w:rsidRDefault="00F80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AE65" w14:textId="7F943D69" w:rsidR="00071CB9" w:rsidRDefault="00071C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E403" w14:textId="56150601" w:rsidR="00071CB9" w:rsidRDefault="00071C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4D0A" w14:textId="7504D84E" w:rsidR="00071CB9" w:rsidRDefault="00071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7" w15:restartNumberingAfterBreak="0">
    <w:nsid w:val="4612718C"/>
    <w:multiLevelType w:val="hybridMultilevel"/>
    <w:tmpl w:val="C5AE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0"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1" w15:restartNumberingAfterBreak="0">
    <w:nsid w:val="73722B58"/>
    <w:multiLevelType w:val="hybridMultilevel"/>
    <w:tmpl w:val="CE448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num>
  <w:num w:numId="5">
    <w:abstractNumId w:val="2"/>
  </w:num>
  <w:num w:numId="6">
    <w:abstractNumId w:val="9"/>
  </w:num>
  <w:num w:numId="7">
    <w:abstractNumId w:val="3"/>
  </w:num>
  <w:num w:numId="8">
    <w:abstractNumId w:val="4"/>
  </w:num>
  <w:num w:numId="9">
    <w:abstractNumId w:val="5"/>
  </w:num>
  <w:num w:numId="10">
    <w:abstractNumId w:val="8"/>
  </w:num>
  <w:num w:numId="11">
    <w:abstractNumId w:val="7"/>
  </w:num>
  <w:num w:numId="1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7B"/>
    <w:rsid w:val="0001045F"/>
    <w:rsid w:val="00011A0E"/>
    <w:rsid w:val="00022D3A"/>
    <w:rsid w:val="00027722"/>
    <w:rsid w:val="00035A84"/>
    <w:rsid w:val="00036445"/>
    <w:rsid w:val="00042A4E"/>
    <w:rsid w:val="0004629B"/>
    <w:rsid w:val="00054173"/>
    <w:rsid w:val="0006307F"/>
    <w:rsid w:val="00071CB9"/>
    <w:rsid w:val="00082EE9"/>
    <w:rsid w:val="00092652"/>
    <w:rsid w:val="00095961"/>
    <w:rsid w:val="000A020D"/>
    <w:rsid w:val="000A0815"/>
    <w:rsid w:val="000A10E5"/>
    <w:rsid w:val="000A632A"/>
    <w:rsid w:val="000A657A"/>
    <w:rsid w:val="000B2CFD"/>
    <w:rsid w:val="000B690E"/>
    <w:rsid w:val="000C088C"/>
    <w:rsid w:val="000C489F"/>
    <w:rsid w:val="000C5A9C"/>
    <w:rsid w:val="000D4729"/>
    <w:rsid w:val="000E06F1"/>
    <w:rsid w:val="000E47C1"/>
    <w:rsid w:val="000F18D3"/>
    <w:rsid w:val="000F3D45"/>
    <w:rsid w:val="00100899"/>
    <w:rsid w:val="00103922"/>
    <w:rsid w:val="00105D15"/>
    <w:rsid w:val="001132AF"/>
    <w:rsid w:val="001159E8"/>
    <w:rsid w:val="001247C0"/>
    <w:rsid w:val="00124D85"/>
    <w:rsid w:val="00132EDB"/>
    <w:rsid w:val="0016495D"/>
    <w:rsid w:val="00167C66"/>
    <w:rsid w:val="001822F7"/>
    <w:rsid w:val="00194DC3"/>
    <w:rsid w:val="001A774F"/>
    <w:rsid w:val="001B0A38"/>
    <w:rsid w:val="001B27EE"/>
    <w:rsid w:val="001B40DA"/>
    <w:rsid w:val="001D7C43"/>
    <w:rsid w:val="001E0589"/>
    <w:rsid w:val="001E639C"/>
    <w:rsid w:val="001E7E29"/>
    <w:rsid w:val="001F1BA6"/>
    <w:rsid w:val="002319B6"/>
    <w:rsid w:val="002326FE"/>
    <w:rsid w:val="00234883"/>
    <w:rsid w:val="00237F1D"/>
    <w:rsid w:val="00245F77"/>
    <w:rsid w:val="0025302B"/>
    <w:rsid w:val="00262D6F"/>
    <w:rsid w:val="00266257"/>
    <w:rsid w:val="00275083"/>
    <w:rsid w:val="002821EA"/>
    <w:rsid w:val="0028248C"/>
    <w:rsid w:val="00292212"/>
    <w:rsid w:val="002A195F"/>
    <w:rsid w:val="002A29C4"/>
    <w:rsid w:val="002B186E"/>
    <w:rsid w:val="002B3AAE"/>
    <w:rsid w:val="002B67DA"/>
    <w:rsid w:val="002C20EF"/>
    <w:rsid w:val="002C4552"/>
    <w:rsid w:val="002E3585"/>
    <w:rsid w:val="002F6055"/>
    <w:rsid w:val="00300EA5"/>
    <w:rsid w:val="00303EBB"/>
    <w:rsid w:val="00312BAB"/>
    <w:rsid w:val="0031428C"/>
    <w:rsid w:val="003149F9"/>
    <w:rsid w:val="003231E8"/>
    <w:rsid w:val="00334502"/>
    <w:rsid w:val="003569D0"/>
    <w:rsid w:val="0036640B"/>
    <w:rsid w:val="00377EEC"/>
    <w:rsid w:val="003906EA"/>
    <w:rsid w:val="00390B23"/>
    <w:rsid w:val="00395567"/>
    <w:rsid w:val="003A0C05"/>
    <w:rsid w:val="003A0ED0"/>
    <w:rsid w:val="003B340C"/>
    <w:rsid w:val="003B440A"/>
    <w:rsid w:val="003B4DEB"/>
    <w:rsid w:val="003C2286"/>
    <w:rsid w:val="003F35E5"/>
    <w:rsid w:val="003F479C"/>
    <w:rsid w:val="003F6559"/>
    <w:rsid w:val="004063AF"/>
    <w:rsid w:val="00412492"/>
    <w:rsid w:val="004131DA"/>
    <w:rsid w:val="004134D1"/>
    <w:rsid w:val="0041367C"/>
    <w:rsid w:val="00413AB7"/>
    <w:rsid w:val="0041406C"/>
    <w:rsid w:val="004228A7"/>
    <w:rsid w:val="00442F00"/>
    <w:rsid w:val="0044597E"/>
    <w:rsid w:val="004502C2"/>
    <w:rsid w:val="00450600"/>
    <w:rsid w:val="0045174E"/>
    <w:rsid w:val="00452FBB"/>
    <w:rsid w:val="00453D01"/>
    <w:rsid w:val="00461A50"/>
    <w:rsid w:val="00470EC5"/>
    <w:rsid w:val="0047605E"/>
    <w:rsid w:val="004760E5"/>
    <w:rsid w:val="00477966"/>
    <w:rsid w:val="00485806"/>
    <w:rsid w:val="00496071"/>
    <w:rsid w:val="004A78CF"/>
    <w:rsid w:val="004B5871"/>
    <w:rsid w:val="004B62D3"/>
    <w:rsid w:val="004C19D9"/>
    <w:rsid w:val="004C72D7"/>
    <w:rsid w:val="004D348B"/>
    <w:rsid w:val="004F2105"/>
    <w:rsid w:val="004F61F7"/>
    <w:rsid w:val="00511299"/>
    <w:rsid w:val="00511863"/>
    <w:rsid w:val="00526B48"/>
    <w:rsid w:val="00540608"/>
    <w:rsid w:val="00543566"/>
    <w:rsid w:val="00546DCC"/>
    <w:rsid w:val="005522F9"/>
    <w:rsid w:val="00566EEC"/>
    <w:rsid w:val="00567026"/>
    <w:rsid w:val="00576C85"/>
    <w:rsid w:val="00582ACA"/>
    <w:rsid w:val="00585CCB"/>
    <w:rsid w:val="0059095D"/>
    <w:rsid w:val="005949BB"/>
    <w:rsid w:val="005A36BF"/>
    <w:rsid w:val="005A5B69"/>
    <w:rsid w:val="005B03DC"/>
    <w:rsid w:val="005B44A8"/>
    <w:rsid w:val="005B6CC5"/>
    <w:rsid w:val="005C64A9"/>
    <w:rsid w:val="005D3EBD"/>
    <w:rsid w:val="005D5030"/>
    <w:rsid w:val="005D5088"/>
    <w:rsid w:val="005F4210"/>
    <w:rsid w:val="00600A30"/>
    <w:rsid w:val="00603B12"/>
    <w:rsid w:val="00605397"/>
    <w:rsid w:val="006109EF"/>
    <w:rsid w:val="00616C94"/>
    <w:rsid w:val="00625747"/>
    <w:rsid w:val="00626D22"/>
    <w:rsid w:val="00635658"/>
    <w:rsid w:val="0064085C"/>
    <w:rsid w:val="00641B80"/>
    <w:rsid w:val="00652AE1"/>
    <w:rsid w:val="00657C17"/>
    <w:rsid w:val="00676C02"/>
    <w:rsid w:val="00680F12"/>
    <w:rsid w:val="00685FB0"/>
    <w:rsid w:val="00687FC9"/>
    <w:rsid w:val="006B7636"/>
    <w:rsid w:val="006C2E8F"/>
    <w:rsid w:val="006D2259"/>
    <w:rsid w:val="006E3AB7"/>
    <w:rsid w:val="006F0751"/>
    <w:rsid w:val="006F5E43"/>
    <w:rsid w:val="006F7A01"/>
    <w:rsid w:val="00704DB2"/>
    <w:rsid w:val="00705A48"/>
    <w:rsid w:val="00707D8F"/>
    <w:rsid w:val="007106F1"/>
    <w:rsid w:val="00722839"/>
    <w:rsid w:val="00726AB2"/>
    <w:rsid w:val="00755F42"/>
    <w:rsid w:val="0076476B"/>
    <w:rsid w:val="0078283E"/>
    <w:rsid w:val="00795B77"/>
    <w:rsid w:val="007A4E19"/>
    <w:rsid w:val="007A508F"/>
    <w:rsid w:val="007C0C74"/>
    <w:rsid w:val="007C6945"/>
    <w:rsid w:val="007D7370"/>
    <w:rsid w:val="007E234E"/>
    <w:rsid w:val="007E5957"/>
    <w:rsid w:val="007E5F64"/>
    <w:rsid w:val="007E726A"/>
    <w:rsid w:val="007F33CC"/>
    <w:rsid w:val="008008D8"/>
    <w:rsid w:val="0080639A"/>
    <w:rsid w:val="00807047"/>
    <w:rsid w:val="00811F2C"/>
    <w:rsid w:val="00812051"/>
    <w:rsid w:val="00813FC1"/>
    <w:rsid w:val="008155B8"/>
    <w:rsid w:val="008277E1"/>
    <w:rsid w:val="00832E63"/>
    <w:rsid w:val="008424DA"/>
    <w:rsid w:val="0086620C"/>
    <w:rsid w:val="00883F01"/>
    <w:rsid w:val="008872A7"/>
    <w:rsid w:val="0089012F"/>
    <w:rsid w:val="00890FA7"/>
    <w:rsid w:val="0089187D"/>
    <w:rsid w:val="00896C6D"/>
    <w:rsid w:val="008A04CE"/>
    <w:rsid w:val="008A27EB"/>
    <w:rsid w:val="008B3068"/>
    <w:rsid w:val="008D18A1"/>
    <w:rsid w:val="008D6CF3"/>
    <w:rsid w:val="008E3F20"/>
    <w:rsid w:val="008F05AF"/>
    <w:rsid w:val="00906D5E"/>
    <w:rsid w:val="00911052"/>
    <w:rsid w:val="00934695"/>
    <w:rsid w:val="00940548"/>
    <w:rsid w:val="00940A25"/>
    <w:rsid w:val="00963F3A"/>
    <w:rsid w:val="0096544C"/>
    <w:rsid w:val="009704F7"/>
    <w:rsid w:val="00981907"/>
    <w:rsid w:val="00982004"/>
    <w:rsid w:val="009A22D2"/>
    <w:rsid w:val="009B0563"/>
    <w:rsid w:val="009B267B"/>
    <w:rsid w:val="009B50A5"/>
    <w:rsid w:val="009C3528"/>
    <w:rsid w:val="009C447E"/>
    <w:rsid w:val="009C7D14"/>
    <w:rsid w:val="009D1878"/>
    <w:rsid w:val="009E000D"/>
    <w:rsid w:val="009E3BA2"/>
    <w:rsid w:val="009E4622"/>
    <w:rsid w:val="009E47AA"/>
    <w:rsid w:val="009E7C40"/>
    <w:rsid w:val="009F1F58"/>
    <w:rsid w:val="009F705D"/>
    <w:rsid w:val="00A10E07"/>
    <w:rsid w:val="00A1506E"/>
    <w:rsid w:val="00A16838"/>
    <w:rsid w:val="00A227F5"/>
    <w:rsid w:val="00A31016"/>
    <w:rsid w:val="00A406B3"/>
    <w:rsid w:val="00A426AA"/>
    <w:rsid w:val="00A4282D"/>
    <w:rsid w:val="00A51F23"/>
    <w:rsid w:val="00A5607B"/>
    <w:rsid w:val="00A70D9F"/>
    <w:rsid w:val="00A72929"/>
    <w:rsid w:val="00A74A5F"/>
    <w:rsid w:val="00A80BBD"/>
    <w:rsid w:val="00A81849"/>
    <w:rsid w:val="00A8343E"/>
    <w:rsid w:val="00A9300C"/>
    <w:rsid w:val="00A95AA4"/>
    <w:rsid w:val="00A95B48"/>
    <w:rsid w:val="00A97541"/>
    <w:rsid w:val="00AB35FC"/>
    <w:rsid w:val="00AB4172"/>
    <w:rsid w:val="00AB5874"/>
    <w:rsid w:val="00AC1CDE"/>
    <w:rsid w:val="00AC2B84"/>
    <w:rsid w:val="00AC4CDB"/>
    <w:rsid w:val="00AD175B"/>
    <w:rsid w:val="00AD18BC"/>
    <w:rsid w:val="00AD7B9C"/>
    <w:rsid w:val="00AE43CB"/>
    <w:rsid w:val="00AE58D9"/>
    <w:rsid w:val="00AF0632"/>
    <w:rsid w:val="00AF1730"/>
    <w:rsid w:val="00AF323E"/>
    <w:rsid w:val="00B06AA0"/>
    <w:rsid w:val="00B205A7"/>
    <w:rsid w:val="00B2479A"/>
    <w:rsid w:val="00B271EC"/>
    <w:rsid w:val="00B3476C"/>
    <w:rsid w:val="00B3687B"/>
    <w:rsid w:val="00B375FE"/>
    <w:rsid w:val="00B42127"/>
    <w:rsid w:val="00B423C2"/>
    <w:rsid w:val="00B452D8"/>
    <w:rsid w:val="00B52298"/>
    <w:rsid w:val="00B57341"/>
    <w:rsid w:val="00B6112E"/>
    <w:rsid w:val="00B61158"/>
    <w:rsid w:val="00B611A3"/>
    <w:rsid w:val="00B661B8"/>
    <w:rsid w:val="00B6743D"/>
    <w:rsid w:val="00B7429C"/>
    <w:rsid w:val="00B749EB"/>
    <w:rsid w:val="00B77215"/>
    <w:rsid w:val="00B80DD2"/>
    <w:rsid w:val="00B82474"/>
    <w:rsid w:val="00B9175A"/>
    <w:rsid w:val="00BA3FA7"/>
    <w:rsid w:val="00BB1547"/>
    <w:rsid w:val="00BB1643"/>
    <w:rsid w:val="00BB22B9"/>
    <w:rsid w:val="00BB29EC"/>
    <w:rsid w:val="00BB591C"/>
    <w:rsid w:val="00BB64DB"/>
    <w:rsid w:val="00BD402A"/>
    <w:rsid w:val="00BD48DB"/>
    <w:rsid w:val="00BE033E"/>
    <w:rsid w:val="00BE2C02"/>
    <w:rsid w:val="00BE4EE6"/>
    <w:rsid w:val="00BF2B0F"/>
    <w:rsid w:val="00BF478C"/>
    <w:rsid w:val="00BF737A"/>
    <w:rsid w:val="00C14311"/>
    <w:rsid w:val="00C23EB9"/>
    <w:rsid w:val="00C27810"/>
    <w:rsid w:val="00C30DA0"/>
    <w:rsid w:val="00C335C5"/>
    <w:rsid w:val="00C353C1"/>
    <w:rsid w:val="00C456F4"/>
    <w:rsid w:val="00C57760"/>
    <w:rsid w:val="00C63087"/>
    <w:rsid w:val="00C64805"/>
    <w:rsid w:val="00C66635"/>
    <w:rsid w:val="00C73120"/>
    <w:rsid w:val="00C826F0"/>
    <w:rsid w:val="00C866E0"/>
    <w:rsid w:val="00C87B23"/>
    <w:rsid w:val="00C91790"/>
    <w:rsid w:val="00C91BE8"/>
    <w:rsid w:val="00C91CF2"/>
    <w:rsid w:val="00C93984"/>
    <w:rsid w:val="00C97969"/>
    <w:rsid w:val="00CA0263"/>
    <w:rsid w:val="00CA4EE2"/>
    <w:rsid w:val="00CB1401"/>
    <w:rsid w:val="00CC51C6"/>
    <w:rsid w:val="00CC70C1"/>
    <w:rsid w:val="00CD67AB"/>
    <w:rsid w:val="00CE384E"/>
    <w:rsid w:val="00CF24FD"/>
    <w:rsid w:val="00D0721D"/>
    <w:rsid w:val="00D17423"/>
    <w:rsid w:val="00D1754F"/>
    <w:rsid w:val="00D35D57"/>
    <w:rsid w:val="00D42140"/>
    <w:rsid w:val="00D5145D"/>
    <w:rsid w:val="00D55C78"/>
    <w:rsid w:val="00D55C94"/>
    <w:rsid w:val="00D60100"/>
    <w:rsid w:val="00D66C18"/>
    <w:rsid w:val="00D67206"/>
    <w:rsid w:val="00D8129E"/>
    <w:rsid w:val="00D846F6"/>
    <w:rsid w:val="00D91BB7"/>
    <w:rsid w:val="00DB0849"/>
    <w:rsid w:val="00DB250D"/>
    <w:rsid w:val="00DB6CF4"/>
    <w:rsid w:val="00DC1F1E"/>
    <w:rsid w:val="00DD7980"/>
    <w:rsid w:val="00DE38BD"/>
    <w:rsid w:val="00DF2D65"/>
    <w:rsid w:val="00DF7075"/>
    <w:rsid w:val="00E00793"/>
    <w:rsid w:val="00E0243D"/>
    <w:rsid w:val="00E045CF"/>
    <w:rsid w:val="00E06EBD"/>
    <w:rsid w:val="00E36DB1"/>
    <w:rsid w:val="00E4601B"/>
    <w:rsid w:val="00E46238"/>
    <w:rsid w:val="00E50FE0"/>
    <w:rsid w:val="00E602BE"/>
    <w:rsid w:val="00E72867"/>
    <w:rsid w:val="00E732F6"/>
    <w:rsid w:val="00E96BA1"/>
    <w:rsid w:val="00EA186D"/>
    <w:rsid w:val="00EA2C86"/>
    <w:rsid w:val="00EA7D8F"/>
    <w:rsid w:val="00EB1794"/>
    <w:rsid w:val="00EC13FF"/>
    <w:rsid w:val="00EC2EEB"/>
    <w:rsid w:val="00EE3588"/>
    <w:rsid w:val="00EF090D"/>
    <w:rsid w:val="00F04ACE"/>
    <w:rsid w:val="00F06415"/>
    <w:rsid w:val="00F206E2"/>
    <w:rsid w:val="00F26730"/>
    <w:rsid w:val="00F44F73"/>
    <w:rsid w:val="00F46B04"/>
    <w:rsid w:val="00F579BF"/>
    <w:rsid w:val="00F60C8B"/>
    <w:rsid w:val="00F62AFF"/>
    <w:rsid w:val="00F720A3"/>
    <w:rsid w:val="00F7256F"/>
    <w:rsid w:val="00F77ACB"/>
    <w:rsid w:val="00F80612"/>
    <w:rsid w:val="00F81EBE"/>
    <w:rsid w:val="00F839C8"/>
    <w:rsid w:val="00F86E3B"/>
    <w:rsid w:val="00F86FC5"/>
    <w:rsid w:val="00F94100"/>
    <w:rsid w:val="00FA3F58"/>
    <w:rsid w:val="00FA4F3C"/>
    <w:rsid w:val="00FB3D1B"/>
    <w:rsid w:val="00FC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34"/>
    <w:qFormat/>
    <w:rsid w:val="008D6CF3"/>
    <w:pPr>
      <w:ind w:left="720"/>
      <w:contextualSpacing/>
    </w:pPr>
  </w:style>
  <w:style w:type="character" w:styleId="UnresolvedMention">
    <w:name w:val="Unresolved Mention"/>
    <w:basedOn w:val="DefaultParagraphFont"/>
    <w:rsid w:val="00071CB9"/>
    <w:rPr>
      <w:color w:val="605E5C"/>
      <w:shd w:val="clear" w:color="auto" w:fill="E1DFDD"/>
    </w:rPr>
  </w:style>
  <w:style w:type="paragraph" w:styleId="NoSpacing">
    <w:name w:val="No Spacing"/>
    <w:uiPriority w:val="1"/>
    <w:qFormat/>
    <w:rsid w:val="00CA0263"/>
    <w:rPr>
      <w:rFonts w:ascii="Arial" w:eastAsiaTheme="minorHAnsi" w:hAnsi="Arial"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ccconfer.zoom.us/j/962939322" TargetMode="External"/><Relationship Id="rId13" Type="http://schemas.openxmlformats.org/officeDocument/2006/relationships/hyperlink" Target="https://www.asccc.org/sites/default/files/publications/Data101Feb2010_0.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www.asccc.org/sites/default/files/Resolutions%20F19%20for%20Saturday%20Discussion%20FINAL_0.pdf" TargetMode="External"/><Relationship Id="rId17" Type="http://schemas.openxmlformats.org/officeDocument/2006/relationships/hyperlink" Target="https://www.asccc.org/calendar/list/event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sccc.org/events/2020-04-30-160000-2020-05-02-190000/2020-career-and-noncredit-institut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id.net/model-curriculu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sccc.org/content/cte-minimum-qualifications-tool-kit" TargetMode="External"/><Relationship Id="rId23" Type="http://schemas.openxmlformats.org/officeDocument/2006/relationships/footer" Target="footer3.xml"/><Relationship Id="rId10" Type="http://schemas.openxmlformats.org/officeDocument/2006/relationships/hyperlink" Target="https://www.c-id.ne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asccc.org/directory/cte-leadership-committee" TargetMode="External"/><Relationship Id="rId14" Type="http://schemas.openxmlformats.org/officeDocument/2006/relationships/hyperlink" Target="https://www.asccc.org/content/data-101-guiding-principles-%E2%80%9410-years-later"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1298</TotalTime>
  <Pages>2</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6003</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Carrie Roberson</cp:lastModifiedBy>
  <cp:revision>28</cp:revision>
  <cp:lastPrinted>2017-04-13T00:50:00Z</cp:lastPrinted>
  <dcterms:created xsi:type="dcterms:W3CDTF">2019-10-30T19:36:00Z</dcterms:created>
  <dcterms:modified xsi:type="dcterms:W3CDTF">2019-11-12T18:56:00Z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