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0DA03FC9" w:rsidR="0080639A" w:rsidRPr="00726AB2" w:rsidRDefault="002C20EF" w:rsidP="00A4282D">
      <w:pPr>
        <w:pStyle w:val="Title"/>
        <w:rPr>
          <w:rFonts w:asciiTheme="majorHAnsi" w:hAnsiTheme="majorHAnsi"/>
          <w:color w:val="000000" w:themeColor="text1"/>
        </w:rPr>
      </w:pPr>
      <w:r w:rsidRPr="00726AB2">
        <w:rPr>
          <w:rFonts w:asciiTheme="majorHAnsi" w:hAnsiTheme="majorHAnsi"/>
          <w:color w:val="000000" w:themeColor="text1"/>
        </w:rPr>
        <w:t>AUGUST 30</w:t>
      </w:r>
      <w:r w:rsidRPr="00726AB2">
        <w:rPr>
          <w:rFonts w:asciiTheme="majorHAnsi" w:hAnsiTheme="majorHAnsi"/>
          <w:color w:val="000000" w:themeColor="text1"/>
          <w:vertAlign w:val="superscript"/>
        </w:rPr>
        <w:t>TH</w:t>
      </w:r>
      <w:r w:rsidRPr="00726AB2">
        <w:rPr>
          <w:rFonts w:asciiTheme="majorHAnsi" w:hAnsiTheme="majorHAnsi"/>
          <w:color w:val="000000" w:themeColor="text1"/>
        </w:rPr>
        <w:t>, 2019</w:t>
      </w:r>
    </w:p>
    <w:p w14:paraId="379AB168" w14:textId="164CEBA3" w:rsidR="008155B8" w:rsidRPr="00726AB2" w:rsidRDefault="002C20EF" w:rsidP="008155B8">
      <w:pPr>
        <w:pStyle w:val="Title"/>
        <w:rPr>
          <w:rFonts w:asciiTheme="majorHAnsi" w:hAnsiTheme="majorHAnsi"/>
          <w:color w:val="000000" w:themeColor="text1"/>
        </w:rPr>
      </w:pPr>
      <w:r w:rsidRPr="00726AB2">
        <w:rPr>
          <w:rFonts w:asciiTheme="majorHAnsi" w:hAnsiTheme="majorHAnsi"/>
          <w:color w:val="000000" w:themeColor="text1"/>
        </w:rPr>
        <w:t>9:00AM – 10:00AM</w:t>
      </w:r>
    </w:p>
    <w:p w14:paraId="37F2CA2B" w14:textId="41868D51" w:rsidR="00F720A3" w:rsidRPr="00726AB2" w:rsidRDefault="005B6CC5" w:rsidP="0080639A">
      <w:pPr>
        <w:pStyle w:val="Title"/>
        <w:rPr>
          <w:rFonts w:asciiTheme="majorHAnsi" w:hAnsiTheme="majorHAnsi"/>
        </w:rPr>
      </w:pPr>
      <w:hyperlink r:id="rId8" w:history="1">
        <w:r w:rsidR="002C20EF" w:rsidRPr="00726AB2">
          <w:rPr>
            <w:rStyle w:val="Hyperlink"/>
            <w:rFonts w:asciiTheme="majorHAnsi" w:hAnsiTheme="majorHAnsi"/>
          </w:rPr>
          <w:t>ZOOM</w:t>
        </w:r>
      </w:hyperlink>
    </w:p>
    <w:p w14:paraId="7842A477" w14:textId="77777777" w:rsidR="00F720A3" w:rsidRPr="00726AB2" w:rsidRDefault="00F720A3" w:rsidP="0080639A">
      <w:pPr>
        <w:pStyle w:val="Title"/>
        <w:rPr>
          <w:rFonts w:asciiTheme="majorHAnsi" w:hAnsiTheme="majorHAnsi"/>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59B9CD2" w14:textId="2A8E25C2" w:rsidR="002C20EF" w:rsidRDefault="002C20EF" w:rsidP="002C20EF">
      <w:pPr>
        <w:numPr>
          <w:ilvl w:val="1"/>
          <w:numId w:val="7"/>
        </w:numPr>
        <w:rPr>
          <w:rFonts w:asciiTheme="majorHAnsi" w:hAnsiTheme="majorHAnsi"/>
        </w:rPr>
      </w:pPr>
      <w:r>
        <w:rPr>
          <w:rFonts w:asciiTheme="majorHAnsi" w:hAnsiTheme="majorHAnsi"/>
        </w:rPr>
        <w:t xml:space="preserve">Select notetaker </w:t>
      </w:r>
    </w:p>
    <w:p w14:paraId="6E41E3ED" w14:textId="204D95A3" w:rsidR="00F60C8B" w:rsidRDefault="00F60C8B" w:rsidP="002C20EF">
      <w:pPr>
        <w:numPr>
          <w:ilvl w:val="1"/>
          <w:numId w:val="7"/>
        </w:numPr>
        <w:rPr>
          <w:rFonts w:asciiTheme="majorHAnsi" w:hAnsiTheme="majorHAnsi"/>
        </w:rPr>
      </w:pPr>
      <w:r>
        <w:rPr>
          <w:rFonts w:asciiTheme="majorHAnsi" w:hAnsiTheme="majorHAnsi"/>
        </w:rPr>
        <w:t>Welcome &amp; Introductions</w:t>
      </w:r>
    </w:p>
    <w:p w14:paraId="7108C91D" w14:textId="77777777" w:rsidR="002C20EF" w:rsidRDefault="002C20EF" w:rsidP="002C20EF">
      <w:pPr>
        <w:ind w:left="1080"/>
        <w:rPr>
          <w:rFonts w:asciiTheme="majorHAnsi" w:hAnsiTheme="majorHAnsi"/>
        </w:rPr>
      </w:pPr>
    </w:p>
    <w:p w14:paraId="43C211F7" w14:textId="78730EB9"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333D519" w14:textId="7FF54C8B" w:rsidR="003B440A" w:rsidRPr="003B440A" w:rsidRDefault="003B440A" w:rsidP="003B440A">
      <w:pPr>
        <w:numPr>
          <w:ilvl w:val="1"/>
          <w:numId w:val="7"/>
        </w:numPr>
        <w:rPr>
          <w:rFonts w:asciiTheme="majorHAnsi" w:hAnsiTheme="majorHAnsi"/>
        </w:rPr>
      </w:pPr>
      <w:r>
        <w:rPr>
          <w:rFonts w:asciiTheme="majorHAnsi" w:hAnsiTheme="majorHAnsi"/>
        </w:rPr>
        <w:t>N/A</w:t>
      </w:r>
    </w:p>
    <w:p w14:paraId="247A5ACA" w14:textId="77777777" w:rsidR="0006307F" w:rsidRDefault="0006307F" w:rsidP="0006307F">
      <w:pPr>
        <w:rPr>
          <w:rFonts w:asciiTheme="majorHAnsi" w:hAnsiTheme="majorHAnsi"/>
        </w:rPr>
      </w:pPr>
    </w:p>
    <w:p w14:paraId="60AE17D1" w14:textId="63BE98C9" w:rsidR="00071CB9" w:rsidRPr="00071CB9" w:rsidRDefault="00071CB9" w:rsidP="00071CB9">
      <w:pPr>
        <w:numPr>
          <w:ilvl w:val="0"/>
          <w:numId w:val="7"/>
        </w:numPr>
        <w:jc w:val="both"/>
        <w:rPr>
          <w:rFonts w:asciiTheme="majorHAnsi" w:hAnsiTheme="majorHAnsi"/>
        </w:rPr>
      </w:pPr>
      <w:r>
        <w:rPr>
          <w:rFonts w:asciiTheme="majorHAnsi" w:hAnsiTheme="majorHAnsi"/>
        </w:rPr>
        <w:t>Links</w:t>
      </w:r>
    </w:p>
    <w:p w14:paraId="22EE2125" w14:textId="76286FDF" w:rsidR="0006307F" w:rsidRPr="00071CB9" w:rsidRDefault="005B6CC5" w:rsidP="00F60C8B">
      <w:pPr>
        <w:numPr>
          <w:ilvl w:val="1"/>
          <w:numId w:val="7"/>
        </w:numPr>
        <w:rPr>
          <w:rStyle w:val="Hyperlink"/>
          <w:rFonts w:asciiTheme="majorHAnsi" w:hAnsiTheme="majorHAnsi"/>
          <w:color w:val="auto"/>
        </w:rPr>
      </w:pPr>
      <w:hyperlink r:id="rId9" w:history="1">
        <w:r w:rsidR="0006307F" w:rsidRPr="00F60C8B">
          <w:rPr>
            <w:rStyle w:val="Hyperlink"/>
            <w:rFonts w:asciiTheme="majorHAnsi" w:hAnsiTheme="majorHAnsi"/>
          </w:rPr>
          <w:t>Application for Statewide Service</w:t>
        </w:r>
      </w:hyperlink>
      <w:r w:rsidR="0006307F">
        <w:rPr>
          <w:rFonts w:asciiTheme="majorHAnsi" w:hAnsiTheme="majorHAnsi"/>
        </w:rPr>
        <w:t xml:space="preserve"> </w:t>
      </w:r>
    </w:p>
    <w:p w14:paraId="4E008558" w14:textId="2DB350C5" w:rsidR="00071CB9" w:rsidRPr="00071CB9"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10"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6DF68AA" w14:textId="77777777" w:rsidR="007C0C74" w:rsidRDefault="00F60C8B" w:rsidP="00F60C8B">
      <w:pPr>
        <w:numPr>
          <w:ilvl w:val="1"/>
          <w:numId w:val="7"/>
        </w:numPr>
        <w:rPr>
          <w:rFonts w:asciiTheme="majorHAnsi" w:hAnsiTheme="majorHAnsi"/>
        </w:rPr>
      </w:pPr>
      <w:r>
        <w:rPr>
          <w:rFonts w:asciiTheme="majorHAnsi" w:hAnsiTheme="majorHAnsi"/>
        </w:rPr>
        <w:t>Review Online Education Committee Roster</w:t>
      </w:r>
    </w:p>
    <w:p w14:paraId="2B438B96" w14:textId="77777777" w:rsidR="007C0C74" w:rsidRDefault="007C0C74" w:rsidP="00F60C8B">
      <w:pPr>
        <w:numPr>
          <w:ilvl w:val="1"/>
          <w:numId w:val="7"/>
        </w:numPr>
        <w:rPr>
          <w:rFonts w:asciiTheme="majorHAnsi" w:hAnsiTheme="majorHAnsi"/>
        </w:rPr>
      </w:pPr>
      <w:r>
        <w:rPr>
          <w:rFonts w:asciiTheme="majorHAnsi" w:hAnsiTheme="majorHAnsi"/>
        </w:rPr>
        <w:t xml:space="preserve">Review Online Education Committee Charter: </w:t>
      </w:r>
    </w:p>
    <w:p w14:paraId="63A4AC8A" w14:textId="5E0CC738" w:rsidR="004B62D3" w:rsidRPr="008A27EB" w:rsidRDefault="007C0C74" w:rsidP="007C0C74">
      <w:pPr>
        <w:ind w:left="1440"/>
        <w:rPr>
          <w:rFonts w:asciiTheme="majorHAnsi" w:hAnsiTheme="majorHAnsi" w:cstheme="majorHAnsi"/>
          <w:i/>
          <w:iCs/>
          <w:sz w:val="22"/>
          <w:szCs w:val="22"/>
        </w:rPr>
      </w:pPr>
      <w:r w:rsidRPr="008A27EB">
        <w:rPr>
          <w:rFonts w:asciiTheme="majorHAnsi" w:hAnsiTheme="majorHAnsi" w:cstheme="majorHAnsi"/>
          <w:i/>
          <w:iCs/>
          <w:color w:val="574C45"/>
          <w:sz w:val="22"/>
          <w:szCs w:val="22"/>
        </w:rPr>
        <w:t>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w:t>
      </w:r>
      <w:r w:rsidR="004B62D3" w:rsidRPr="008A27EB">
        <w:rPr>
          <w:rFonts w:asciiTheme="majorHAnsi" w:hAnsiTheme="majorHAnsi" w:cstheme="majorHAnsi"/>
          <w:i/>
          <w:iCs/>
          <w:sz w:val="22"/>
          <w:szCs w:val="22"/>
        </w:rPr>
        <w:t xml:space="preserve"> </w:t>
      </w:r>
    </w:p>
    <w:p w14:paraId="063F0D47" w14:textId="77777777" w:rsidR="003B440A" w:rsidRDefault="00D55C94" w:rsidP="00BB64DB">
      <w:pPr>
        <w:numPr>
          <w:ilvl w:val="1"/>
          <w:numId w:val="7"/>
        </w:numPr>
        <w:rPr>
          <w:rFonts w:asciiTheme="majorHAnsi" w:hAnsiTheme="majorHAnsi"/>
        </w:rPr>
      </w:pPr>
      <w:r>
        <w:rPr>
          <w:rFonts w:asciiTheme="majorHAnsi" w:hAnsiTheme="majorHAnsi"/>
        </w:rPr>
        <w:t>Assigned Resolutions</w:t>
      </w:r>
    </w:p>
    <w:p w14:paraId="46AC97DD" w14:textId="4546E285" w:rsidR="00D55C94" w:rsidRPr="003B440A" w:rsidRDefault="003B440A" w:rsidP="003B440A">
      <w:pPr>
        <w:numPr>
          <w:ilvl w:val="2"/>
          <w:numId w:val="7"/>
        </w:numPr>
        <w:rPr>
          <w:rFonts w:asciiTheme="majorHAnsi" w:hAnsiTheme="majorHAnsi" w:cstheme="majorHAnsi"/>
          <w:iCs/>
        </w:rPr>
      </w:pPr>
      <w:hyperlink r:id="rId11" w:history="1">
        <w:r w:rsidRPr="003B440A">
          <w:rPr>
            <w:rStyle w:val="Hyperlink"/>
            <w:rFonts w:asciiTheme="majorHAnsi" w:hAnsiTheme="majorHAnsi" w:cstheme="majorHAnsi"/>
            <w:iCs/>
          </w:rPr>
          <w:t>Resolution 11.01 S17</w:t>
        </w:r>
      </w:hyperlink>
      <w:r w:rsidRPr="003B440A">
        <w:rPr>
          <w:rFonts w:asciiTheme="majorHAnsi" w:hAnsiTheme="majorHAnsi" w:cstheme="majorHAnsi"/>
          <w:iCs/>
        </w:rPr>
        <w:t>: Using Savings from Adopting Canvas</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2B97456B" w14:textId="0DCE720E" w:rsidR="003B440A" w:rsidRDefault="003B440A" w:rsidP="003B440A">
      <w:pPr>
        <w:pStyle w:val="ListParagraph"/>
        <w:numPr>
          <w:ilvl w:val="2"/>
          <w:numId w:val="7"/>
        </w:numPr>
        <w:rPr>
          <w:rFonts w:asciiTheme="majorHAnsi" w:hAnsiTheme="majorHAnsi"/>
        </w:rPr>
      </w:pPr>
      <w:r>
        <w:rPr>
          <w:rFonts w:asciiTheme="majorHAnsi" w:hAnsiTheme="majorHAnsi"/>
        </w:rPr>
        <w:t>Rostrums, Resolutions</w:t>
      </w:r>
    </w:p>
    <w:p w14:paraId="4B6B5CA9" w14:textId="55AE0DDB" w:rsidR="00F60C8B" w:rsidRDefault="00F60C8B" w:rsidP="00F60C8B">
      <w:pPr>
        <w:pStyle w:val="ListParagraph"/>
        <w:numPr>
          <w:ilvl w:val="1"/>
          <w:numId w:val="7"/>
        </w:numPr>
        <w:rPr>
          <w:rFonts w:asciiTheme="majorHAnsi" w:hAnsiTheme="majorHAnsi"/>
        </w:rPr>
      </w:pPr>
      <w:r>
        <w:rPr>
          <w:rFonts w:asciiTheme="majorHAnsi" w:hAnsiTheme="majorHAnsi"/>
        </w:rPr>
        <w:t>Meetings dates/times</w:t>
      </w:r>
    </w:p>
    <w:p w14:paraId="11568020" w14:textId="126F634F"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p>
    <w:p w14:paraId="5641787B" w14:textId="4ED18912" w:rsidR="00F60C8B" w:rsidRDefault="00F60C8B" w:rsidP="00F60C8B">
      <w:pPr>
        <w:pStyle w:val="ListParagraph"/>
        <w:numPr>
          <w:ilvl w:val="2"/>
          <w:numId w:val="7"/>
        </w:numPr>
        <w:rPr>
          <w:rFonts w:asciiTheme="majorHAnsi" w:hAnsiTheme="majorHAnsi"/>
        </w:rPr>
      </w:pPr>
      <w:r>
        <w:rPr>
          <w:rFonts w:asciiTheme="majorHAnsi" w:hAnsiTheme="majorHAnsi"/>
        </w:rPr>
        <w:t>Face-to-face (fall/spring)</w:t>
      </w:r>
    </w:p>
    <w:p w14:paraId="27DB1AC6" w14:textId="77777777" w:rsidR="00F60C8B" w:rsidRDefault="00F60C8B" w:rsidP="00F60C8B">
      <w:pPr>
        <w:pStyle w:val="ListParagraph"/>
        <w:ind w:left="1440"/>
        <w:rPr>
          <w:rFonts w:asciiTheme="majorHAnsi" w:hAnsiTheme="majorHAnsi"/>
        </w:rPr>
      </w:pPr>
    </w:p>
    <w:p w14:paraId="34BE6927" w14:textId="77777777" w:rsidR="00F60C8B" w:rsidRDefault="00F60C8B" w:rsidP="00F60C8B">
      <w:pPr>
        <w:pStyle w:val="ListParagraph"/>
        <w:numPr>
          <w:ilvl w:val="0"/>
          <w:numId w:val="7"/>
        </w:numPr>
        <w:rPr>
          <w:rFonts w:asciiTheme="majorHAnsi" w:hAnsiTheme="majorHAnsi"/>
        </w:rPr>
      </w:pPr>
      <w:r>
        <w:rPr>
          <w:rFonts w:asciiTheme="majorHAnsi" w:hAnsiTheme="majorHAnsi"/>
        </w:rPr>
        <w:t>Action Items TBD</w:t>
      </w:r>
    </w:p>
    <w:p w14:paraId="0C770BD3" w14:textId="34779AF1"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p>
    <w:p w14:paraId="6B7FE50B" w14:textId="771EAB1C" w:rsidR="003B440A" w:rsidRDefault="003B440A" w:rsidP="003B440A">
      <w:pPr>
        <w:pStyle w:val="ListParagraph"/>
        <w:numPr>
          <w:ilvl w:val="2"/>
          <w:numId w:val="7"/>
        </w:numPr>
        <w:rPr>
          <w:rFonts w:asciiTheme="majorHAnsi" w:hAnsiTheme="majorHAnsi"/>
        </w:rPr>
      </w:pPr>
      <w:r>
        <w:rPr>
          <w:rFonts w:asciiTheme="majorHAnsi" w:hAnsiTheme="majorHAnsi"/>
        </w:rPr>
        <w:t>Faculty Diversification, Shared Governance, Guided Pathways</w:t>
      </w:r>
    </w:p>
    <w:p w14:paraId="5175789B" w14:textId="218CEDC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p>
    <w:p w14:paraId="262AE843" w14:textId="77777777" w:rsidR="003B440A" w:rsidRPr="003B440A"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The new definitions contained within the DE guidelines</w:t>
      </w:r>
    </w:p>
    <w:p w14:paraId="475E1838" w14:textId="77777777" w:rsidR="003B440A" w:rsidRPr="003B440A"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Accessibility </w:t>
      </w:r>
    </w:p>
    <w:p w14:paraId="1181822A" w14:textId="77777777" w:rsidR="003B440A" w:rsidRPr="003B440A"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lastRenderedPageBreak/>
        <w:t xml:space="preserve">Integration of online counseling, tutoring, and other support services into DE environments </w:t>
      </w:r>
    </w:p>
    <w:p w14:paraId="6C81AEEC" w14:textId="77777777" w:rsidR="003B440A" w:rsidRPr="003B440A"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Fully Online Pathways </w:t>
      </w:r>
    </w:p>
    <w:p w14:paraId="297C8E97" w14:textId="3F4BCDEF" w:rsidR="003B440A" w:rsidRPr="008A27EB" w:rsidRDefault="003B440A" w:rsidP="003B440A">
      <w:pPr>
        <w:pStyle w:val="ListParagraph"/>
        <w:numPr>
          <w:ilvl w:val="2"/>
          <w:numId w:val="7"/>
        </w:numPr>
        <w:rPr>
          <w:rFonts w:asciiTheme="majorHAnsi" w:hAnsiTheme="majorHAnsi" w:cstheme="majorHAnsi"/>
        </w:rPr>
      </w:pPr>
      <w:r w:rsidRPr="003B440A">
        <w:rPr>
          <w:rFonts w:asciiTheme="majorHAnsi" w:hAnsiTheme="majorHAnsi" w:cstheme="majorHAnsi"/>
          <w:i/>
        </w:rPr>
        <w:t xml:space="preserve">Changes to the CVC-OEI: EXCEL, automated cross-enrollment, and local peer online course review (POCR) </w:t>
      </w:r>
    </w:p>
    <w:p w14:paraId="1F7F187F" w14:textId="77777777" w:rsidR="00412492" w:rsidRPr="00C91790" w:rsidRDefault="00412492" w:rsidP="00C91790">
      <w:pPr>
        <w:jc w:val="both"/>
        <w:rPr>
          <w:rFonts w:asciiTheme="majorHAnsi" w:hAnsiTheme="majorHAnsi"/>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EA2C86" w:rsidP="002C20EF">
      <w:pPr>
        <w:numPr>
          <w:ilvl w:val="1"/>
          <w:numId w:val="7"/>
        </w:numPr>
        <w:rPr>
          <w:rFonts w:asciiTheme="majorHAnsi" w:hAnsiTheme="majorHAnsi"/>
        </w:rPr>
      </w:pPr>
      <w:hyperlink r:id="rId12" w:history="1">
        <w:r w:rsidRPr="00EA2C86">
          <w:rPr>
            <w:rStyle w:val="Hyperlink"/>
            <w:rFonts w:asciiTheme="majorHAnsi" w:hAnsiTheme="majorHAnsi"/>
          </w:rPr>
          <w:t>ASCCC EVENTS</w:t>
        </w:r>
      </w:hyperlink>
      <w:r w:rsidR="003B440A">
        <w:rPr>
          <w:rFonts w:asciiTheme="majorHAnsi" w:hAnsiTheme="majorHAnsi"/>
        </w:rPr>
        <w:t xml:space="preserve">: </w:t>
      </w:r>
    </w:p>
    <w:p w14:paraId="72DC8042" w14:textId="77777777" w:rsidR="00EA2C86" w:rsidRDefault="007C0C74" w:rsidP="00EA2C86">
      <w:pPr>
        <w:numPr>
          <w:ilvl w:val="2"/>
          <w:numId w:val="7"/>
        </w:numPr>
        <w:rPr>
          <w:rFonts w:asciiTheme="majorHAnsi" w:hAnsiTheme="majorHAnsi"/>
        </w:rPr>
      </w:pPr>
      <w:r>
        <w:rPr>
          <w:rFonts w:asciiTheme="majorHAnsi" w:hAnsiTheme="majorHAnsi"/>
        </w:rPr>
        <w:t>Academic Academy</w:t>
      </w:r>
    </w:p>
    <w:p w14:paraId="2B464D78" w14:textId="1C473582" w:rsidR="002C20EF" w:rsidRPr="00EA2C86" w:rsidRDefault="003B440A" w:rsidP="00EA2C86">
      <w:pPr>
        <w:numPr>
          <w:ilvl w:val="2"/>
          <w:numId w:val="7"/>
        </w:numPr>
        <w:rPr>
          <w:rFonts w:asciiTheme="majorHAnsi" w:hAnsiTheme="majorHAnsi"/>
        </w:rPr>
      </w:pPr>
      <w:r w:rsidRPr="00EA2C86">
        <w:rPr>
          <w:rFonts w:asciiTheme="majorHAnsi" w:hAnsiTheme="majorHAnsi"/>
        </w:rPr>
        <w:t>Fall Plenary</w:t>
      </w:r>
      <w:r w:rsidR="007C0C74" w:rsidRPr="00EA2C86">
        <w:rPr>
          <w:rFonts w:asciiTheme="majorHAnsi" w:hAnsiTheme="majorHAnsi"/>
        </w:rPr>
        <w:t xml:space="preserve"> </w:t>
      </w:r>
      <w:bookmarkStart w:id="0" w:name="_GoBack"/>
      <w:bookmarkEnd w:id="0"/>
    </w:p>
    <w:p w14:paraId="530C49FC" w14:textId="77777777" w:rsidR="008A27EB" w:rsidRDefault="00F60C8B" w:rsidP="003B440A">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8A27EB" w:rsidP="008A27EB">
      <w:pPr>
        <w:numPr>
          <w:ilvl w:val="2"/>
          <w:numId w:val="7"/>
        </w:numPr>
        <w:rPr>
          <w:rFonts w:asciiTheme="majorHAnsi" w:hAnsiTheme="majorHAnsi"/>
        </w:rPr>
      </w:pPr>
      <w:hyperlink r:id="rId13" w:history="1">
        <w:r w:rsidRPr="008A27EB">
          <w:rPr>
            <w:rStyle w:val="Hyperlink"/>
            <w:rFonts w:asciiTheme="majorHAnsi" w:hAnsiTheme="majorHAnsi"/>
          </w:rPr>
          <w:t>Ensuring an Effective Online Program: A Faculty Perspective</w:t>
        </w:r>
      </w:hyperlink>
      <w:r>
        <w:rPr>
          <w:rFonts w:asciiTheme="majorHAnsi" w:hAnsiTheme="majorHAnsi"/>
        </w:rPr>
        <w:t xml:space="preserve"> (spring 2018)</w:t>
      </w:r>
    </w:p>
    <w:p w14:paraId="5977CCA5" w14:textId="4AA2AAE8" w:rsidR="00EA7D8F" w:rsidRPr="003B440A" w:rsidRDefault="008A27EB" w:rsidP="008A27EB">
      <w:pPr>
        <w:numPr>
          <w:ilvl w:val="2"/>
          <w:numId w:val="7"/>
        </w:numPr>
        <w:rPr>
          <w:rFonts w:asciiTheme="majorHAnsi" w:hAnsiTheme="majorHAnsi"/>
        </w:rPr>
      </w:pPr>
      <w:r>
        <w:rPr>
          <w:rFonts w:asciiTheme="majorHAnsi" w:hAnsiTheme="majorHAnsi"/>
        </w:rPr>
        <w:t>Distance Education Guidelines</w:t>
      </w:r>
      <w:r w:rsidR="00F720A3" w:rsidRPr="003B440A">
        <w:rPr>
          <w:rFonts w:asciiTheme="majorHAnsi" w:hAnsiTheme="majorHAnsi"/>
        </w:rPr>
        <w:br/>
      </w: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77777777" w:rsidR="00D66C18" w:rsidRPr="00F720A3" w:rsidRDefault="00D66C18" w:rsidP="002B186E">
      <w:pPr>
        <w:rPr>
          <w:rFonts w:asciiTheme="majorHAnsi" w:hAnsiTheme="majorHAnsi"/>
        </w:rPr>
      </w:pPr>
    </w:p>
    <w:p w14:paraId="18150FF1" w14:textId="182EBDAD" w:rsidR="004B62D3" w:rsidRPr="00B7429C"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sectPr w:rsidR="004B62D3" w:rsidRPr="00B7429C" w:rsidSect="00A74A5F">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91C4" w14:textId="77777777" w:rsidR="005B6CC5" w:rsidRDefault="005B6CC5">
      <w:r>
        <w:separator/>
      </w:r>
    </w:p>
  </w:endnote>
  <w:endnote w:type="continuationSeparator" w:id="0">
    <w:p w14:paraId="6B15DD25" w14:textId="77777777" w:rsidR="005B6CC5" w:rsidRDefault="005B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B1A0" w14:textId="77777777" w:rsidR="005B6CC5" w:rsidRDefault="005B6CC5">
      <w:r>
        <w:separator/>
      </w:r>
    </w:p>
  </w:footnote>
  <w:footnote w:type="continuationSeparator" w:id="0">
    <w:p w14:paraId="42E81737" w14:textId="77777777" w:rsidR="005B6CC5" w:rsidRDefault="005B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32EDB"/>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569D0"/>
    <w:rsid w:val="0036640B"/>
    <w:rsid w:val="00377EEC"/>
    <w:rsid w:val="003906EA"/>
    <w:rsid w:val="00395567"/>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26AB2"/>
    <w:rsid w:val="00755F42"/>
    <w:rsid w:val="0076476B"/>
    <w:rsid w:val="0078283E"/>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478C"/>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94797970" TargetMode="External"/><Relationship Id="rId13" Type="http://schemas.openxmlformats.org/officeDocument/2006/relationships/hyperlink" Target="https://www.asccc.org/sites/default/files/Ensuring_an_Effective_Onlin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using-savings-adopting-canvas-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sccc.org/directory/online-education-committe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sccc.org/content/application-statewide-servi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2252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9</cp:revision>
  <cp:lastPrinted>2017-04-13T00:50:00Z</cp:lastPrinted>
  <dcterms:created xsi:type="dcterms:W3CDTF">2019-08-23T13:37:00Z</dcterms:created>
  <dcterms:modified xsi:type="dcterms:W3CDTF">2019-08-30T15:29:00Z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