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3E7E8CA">
            <wp:simplePos x="0" y="0"/>
            <wp:positionH relativeFrom="margin">
              <wp:posOffset>1649730</wp:posOffset>
            </wp:positionH>
            <wp:positionV relativeFrom="margin">
              <wp:posOffset>-189865</wp:posOffset>
            </wp:positionV>
            <wp:extent cx="3099726" cy="691843"/>
            <wp:effectExtent l="0" t="0" r="5715"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099726" cy="6918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20F33FCD" w:rsidR="0080639A" w:rsidRPr="0080639A" w:rsidRDefault="00B7429C" w:rsidP="00A4282D">
      <w:pPr>
        <w:pStyle w:val="Title"/>
        <w:rPr>
          <w:rFonts w:asciiTheme="majorHAnsi" w:hAnsiTheme="majorHAnsi"/>
        </w:rPr>
      </w:pPr>
      <w:r>
        <w:rPr>
          <w:rFonts w:asciiTheme="majorHAnsi" w:hAnsiTheme="majorHAnsi"/>
        </w:rPr>
        <w:t xml:space="preserve">ASCCC </w:t>
      </w:r>
      <w:r w:rsidR="009B0563">
        <w:rPr>
          <w:rFonts w:asciiTheme="majorHAnsi" w:hAnsiTheme="majorHAnsi"/>
        </w:rPr>
        <w:t xml:space="preserve">CTE LEADERSHIP </w:t>
      </w:r>
      <w:r w:rsidR="002C20EF">
        <w:rPr>
          <w:rFonts w:asciiTheme="majorHAnsi" w:hAnsiTheme="majorHAnsi"/>
        </w:rPr>
        <w:t>COMMITTEE</w:t>
      </w:r>
    </w:p>
    <w:p w14:paraId="26B13B5C" w14:textId="78E60AED" w:rsidR="0080639A" w:rsidRPr="00167C66" w:rsidRDefault="00167C66" w:rsidP="00A4282D">
      <w:pPr>
        <w:pStyle w:val="Title"/>
        <w:rPr>
          <w:rFonts w:asciiTheme="majorHAnsi" w:hAnsiTheme="majorHAnsi"/>
          <w:b w:val="0"/>
          <w:bCs w:val="0"/>
          <w:color w:val="000000" w:themeColor="text1"/>
        </w:rPr>
      </w:pPr>
      <w:r w:rsidRPr="00167C66">
        <w:rPr>
          <w:rFonts w:asciiTheme="majorHAnsi" w:hAnsiTheme="majorHAnsi"/>
          <w:b w:val="0"/>
          <w:bCs w:val="0"/>
          <w:color w:val="000000" w:themeColor="text1"/>
        </w:rPr>
        <w:t>September 18th</w:t>
      </w:r>
      <w:r w:rsidR="002C20EF" w:rsidRPr="00167C66">
        <w:rPr>
          <w:rFonts w:asciiTheme="majorHAnsi" w:hAnsiTheme="majorHAnsi"/>
          <w:b w:val="0"/>
          <w:bCs w:val="0"/>
          <w:color w:val="000000" w:themeColor="text1"/>
        </w:rPr>
        <w:t>, 2019</w:t>
      </w:r>
    </w:p>
    <w:p w14:paraId="379AB168" w14:textId="7DE6BB95" w:rsidR="008155B8" w:rsidRPr="00167C66" w:rsidRDefault="00167C66" w:rsidP="008155B8">
      <w:pPr>
        <w:pStyle w:val="Title"/>
        <w:rPr>
          <w:rFonts w:asciiTheme="majorHAnsi" w:hAnsiTheme="majorHAnsi"/>
          <w:b w:val="0"/>
          <w:bCs w:val="0"/>
          <w:color w:val="000000" w:themeColor="text1"/>
        </w:rPr>
      </w:pPr>
      <w:r w:rsidRPr="00167C66">
        <w:rPr>
          <w:rFonts w:asciiTheme="majorHAnsi" w:hAnsiTheme="majorHAnsi"/>
          <w:b w:val="0"/>
          <w:bCs w:val="0"/>
          <w:color w:val="000000" w:themeColor="text1"/>
        </w:rPr>
        <w:t>10</w:t>
      </w:r>
      <w:r w:rsidR="002C20EF" w:rsidRPr="00167C66">
        <w:rPr>
          <w:rFonts w:asciiTheme="majorHAnsi" w:hAnsiTheme="majorHAnsi"/>
          <w:b w:val="0"/>
          <w:bCs w:val="0"/>
          <w:color w:val="000000" w:themeColor="text1"/>
        </w:rPr>
        <w:t>:00AM – 1</w:t>
      </w:r>
      <w:r w:rsidRPr="00167C66">
        <w:rPr>
          <w:rFonts w:asciiTheme="majorHAnsi" w:hAnsiTheme="majorHAnsi"/>
          <w:b w:val="0"/>
          <w:bCs w:val="0"/>
          <w:color w:val="000000" w:themeColor="text1"/>
        </w:rPr>
        <w:t>1</w:t>
      </w:r>
      <w:r w:rsidR="002C20EF" w:rsidRPr="00167C66">
        <w:rPr>
          <w:rFonts w:asciiTheme="majorHAnsi" w:hAnsiTheme="majorHAnsi"/>
          <w:b w:val="0"/>
          <w:bCs w:val="0"/>
          <w:color w:val="000000" w:themeColor="text1"/>
        </w:rPr>
        <w:t>:00AM</w:t>
      </w:r>
    </w:p>
    <w:p w14:paraId="37F2CA2B" w14:textId="6DD804FE" w:rsidR="00F720A3" w:rsidRPr="00167C66" w:rsidRDefault="00167C66" w:rsidP="0080639A">
      <w:pPr>
        <w:pStyle w:val="Title"/>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"https://cccconfer.zoom.us/j/278880219" </w:instrText>
      </w:r>
      <w:r>
        <w:rPr>
          <w:rFonts w:asciiTheme="majorHAnsi" w:hAnsiTheme="majorHAnsi"/>
        </w:rPr>
      </w:r>
      <w:r>
        <w:rPr>
          <w:rFonts w:asciiTheme="majorHAnsi" w:hAnsiTheme="majorHAnsi"/>
        </w:rPr>
        <w:fldChar w:fldCharType="separate"/>
      </w:r>
      <w:r w:rsidR="002C20EF" w:rsidRPr="00167C66">
        <w:rPr>
          <w:rStyle w:val="Hyperlink"/>
          <w:rFonts w:asciiTheme="majorHAnsi" w:hAnsiTheme="majorHAnsi"/>
        </w:rPr>
        <w:t>ZOOM</w:t>
      </w:r>
    </w:p>
    <w:p w14:paraId="7842A477" w14:textId="77418897" w:rsidR="00F720A3" w:rsidRPr="00726AB2" w:rsidRDefault="00167C66" w:rsidP="0080639A">
      <w:pPr>
        <w:pStyle w:val="Title"/>
        <w:rPr>
          <w:rFonts w:asciiTheme="majorHAnsi" w:hAnsiTheme="majorHAnsi"/>
        </w:rPr>
      </w:pPr>
      <w:r>
        <w:rPr>
          <w:rFonts w:asciiTheme="majorHAnsi" w:hAnsiTheme="majorHAnsi"/>
        </w:rPr>
        <w:fldChar w:fldCharType="end"/>
      </w: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59B9CD2" w14:textId="2A8E25C2" w:rsidR="002C20EF" w:rsidRDefault="002C20EF" w:rsidP="002C20EF">
      <w:pPr>
        <w:numPr>
          <w:ilvl w:val="1"/>
          <w:numId w:val="7"/>
        </w:numPr>
        <w:rPr>
          <w:rFonts w:asciiTheme="majorHAnsi" w:hAnsiTheme="majorHAnsi"/>
        </w:rPr>
      </w:pPr>
      <w:r>
        <w:rPr>
          <w:rFonts w:asciiTheme="majorHAnsi" w:hAnsiTheme="majorHAnsi"/>
        </w:rPr>
        <w:t xml:space="preserve">Select notetaker </w:t>
      </w:r>
    </w:p>
    <w:p w14:paraId="6E41E3ED" w14:textId="204D95A3" w:rsidR="00F60C8B" w:rsidRDefault="00F60C8B" w:rsidP="002C20EF">
      <w:pPr>
        <w:numPr>
          <w:ilvl w:val="1"/>
          <w:numId w:val="7"/>
        </w:numPr>
        <w:rPr>
          <w:rFonts w:asciiTheme="majorHAnsi" w:hAnsiTheme="majorHAnsi"/>
        </w:rPr>
      </w:pPr>
      <w:r>
        <w:rPr>
          <w:rFonts w:asciiTheme="majorHAnsi" w:hAnsiTheme="majorHAnsi"/>
        </w:rPr>
        <w:t>Welcome &amp; Introductions</w:t>
      </w:r>
    </w:p>
    <w:p w14:paraId="7108C91D" w14:textId="77777777" w:rsidR="002C20EF" w:rsidRDefault="002C20EF" w:rsidP="002C20EF">
      <w:pPr>
        <w:ind w:left="1080"/>
        <w:rPr>
          <w:rFonts w:asciiTheme="majorHAnsi" w:hAnsiTheme="majorHAnsi"/>
        </w:rPr>
      </w:pPr>
    </w:p>
    <w:p w14:paraId="43C211F7" w14:textId="78730EB9"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7FF54C8B" w:rsidR="003B440A" w:rsidRPr="003B440A" w:rsidRDefault="003B440A" w:rsidP="003B440A">
      <w:pPr>
        <w:numPr>
          <w:ilvl w:val="1"/>
          <w:numId w:val="7"/>
        </w:numPr>
        <w:rPr>
          <w:rFonts w:asciiTheme="majorHAnsi" w:hAnsiTheme="majorHAnsi"/>
        </w:rPr>
      </w:pPr>
      <w:r>
        <w:rPr>
          <w:rFonts w:asciiTheme="majorHAnsi" w:hAnsiTheme="majorHAnsi"/>
        </w:rPr>
        <w:t>N/A</w:t>
      </w:r>
    </w:p>
    <w:p w14:paraId="247A5ACA" w14:textId="77777777" w:rsidR="0006307F" w:rsidRDefault="0006307F" w:rsidP="0006307F">
      <w:pPr>
        <w:rPr>
          <w:rFonts w:asciiTheme="majorHAnsi" w:hAnsiTheme="majorHAnsi"/>
        </w:rPr>
      </w:pPr>
    </w:p>
    <w:p w14:paraId="60AE17D1" w14:textId="0386DF84" w:rsidR="00071CB9" w:rsidRPr="00071CB9" w:rsidRDefault="00103922" w:rsidP="00071CB9">
      <w:pPr>
        <w:numPr>
          <w:ilvl w:val="0"/>
          <w:numId w:val="7"/>
        </w:numPr>
        <w:jc w:val="both"/>
        <w:rPr>
          <w:rFonts w:asciiTheme="majorHAnsi" w:hAnsiTheme="majorHAnsi"/>
        </w:rPr>
      </w:pPr>
      <w:r>
        <w:rPr>
          <w:rFonts w:asciiTheme="majorHAnsi" w:hAnsiTheme="majorHAnsi"/>
        </w:rPr>
        <w:t>ASCCC Information</w:t>
      </w:r>
    </w:p>
    <w:p w14:paraId="22EE2125" w14:textId="76286FDF" w:rsidR="0006307F" w:rsidRPr="00071CB9" w:rsidRDefault="00C27810" w:rsidP="00F60C8B">
      <w:pPr>
        <w:numPr>
          <w:ilvl w:val="1"/>
          <w:numId w:val="7"/>
        </w:numPr>
        <w:rPr>
          <w:rStyle w:val="Hyperlink"/>
          <w:rFonts w:asciiTheme="majorHAnsi" w:hAnsiTheme="majorHAnsi"/>
          <w:color w:val="auto"/>
        </w:rPr>
      </w:pPr>
      <w:hyperlink r:id="rId8" w:history="1">
        <w:r w:rsidR="0006307F" w:rsidRPr="00F60C8B">
          <w:rPr>
            <w:rStyle w:val="Hyperlink"/>
            <w:rFonts w:asciiTheme="majorHAnsi" w:hAnsiTheme="majorHAnsi"/>
          </w:rPr>
          <w:t>Application for Statewide Service</w:t>
        </w:r>
      </w:hyperlink>
      <w:r w:rsidR="0006307F">
        <w:rPr>
          <w:rFonts w:asciiTheme="majorHAnsi" w:hAnsiTheme="majorHAnsi"/>
        </w:rPr>
        <w:t xml:space="preserve"> </w:t>
      </w:r>
    </w:p>
    <w:p w14:paraId="4E008558" w14:textId="38929280"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9" w:history="1">
        <w:r w:rsidR="009B0563" w:rsidRPr="009B0563">
          <w:rPr>
            <w:rStyle w:val="Hyperlink"/>
            <w:rFonts w:asciiTheme="majorHAnsi" w:hAnsiTheme="majorHAnsi"/>
          </w:rPr>
          <w:t>CTE Leadership Committee</w:t>
        </w:r>
      </w:hyperlink>
      <w:r w:rsidR="00071CB9" w:rsidRPr="00071CB9">
        <w:rPr>
          <w:rStyle w:val="Hyperlink"/>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6DF68AA" w14:textId="1F6BBA3F" w:rsidR="007C0C74" w:rsidRDefault="00F60C8B" w:rsidP="00F60C8B">
      <w:pPr>
        <w:numPr>
          <w:ilvl w:val="1"/>
          <w:numId w:val="7"/>
        </w:numPr>
        <w:rPr>
          <w:rFonts w:asciiTheme="majorHAnsi" w:hAnsiTheme="majorHAnsi"/>
        </w:rPr>
      </w:pPr>
      <w:r>
        <w:rPr>
          <w:rFonts w:asciiTheme="majorHAnsi" w:hAnsiTheme="majorHAnsi"/>
        </w:rPr>
        <w:t xml:space="preserve">Review </w:t>
      </w:r>
      <w:r w:rsidR="00AB35FC">
        <w:rPr>
          <w:rFonts w:asciiTheme="majorHAnsi" w:hAnsiTheme="majorHAnsi"/>
        </w:rPr>
        <w:t>CTE Leadership</w:t>
      </w:r>
      <w:r>
        <w:rPr>
          <w:rFonts w:asciiTheme="majorHAnsi" w:hAnsiTheme="majorHAnsi"/>
        </w:rPr>
        <w:t xml:space="preserve"> Committee Roster</w:t>
      </w:r>
    </w:p>
    <w:p w14:paraId="2B438B96" w14:textId="7ECD852F" w:rsidR="007C0C74" w:rsidRDefault="007C0C74" w:rsidP="00F60C8B">
      <w:pPr>
        <w:numPr>
          <w:ilvl w:val="1"/>
          <w:numId w:val="7"/>
        </w:numPr>
        <w:rPr>
          <w:rFonts w:asciiTheme="majorHAnsi" w:hAnsiTheme="majorHAnsi"/>
        </w:rPr>
      </w:pPr>
      <w:r>
        <w:rPr>
          <w:rFonts w:asciiTheme="majorHAnsi" w:hAnsiTheme="majorHAnsi"/>
        </w:rPr>
        <w:t xml:space="preserve">Review </w:t>
      </w:r>
      <w:r w:rsidR="00AB35FC">
        <w:rPr>
          <w:rFonts w:asciiTheme="majorHAnsi" w:hAnsiTheme="majorHAnsi"/>
        </w:rPr>
        <w:t>CTE Leadership</w:t>
      </w:r>
      <w:r>
        <w:rPr>
          <w:rFonts w:asciiTheme="majorHAnsi" w:hAnsiTheme="majorHAnsi"/>
        </w:rPr>
        <w:t xml:space="preserve"> Committee Charter: </w:t>
      </w:r>
    </w:p>
    <w:p w14:paraId="63A4AC8A" w14:textId="49A5D99F" w:rsidR="004B62D3" w:rsidRPr="008A27EB" w:rsidRDefault="00AB35FC" w:rsidP="007C0C74">
      <w:pPr>
        <w:ind w:left="1440"/>
        <w:rPr>
          <w:rFonts w:asciiTheme="majorHAnsi" w:hAnsiTheme="majorHAnsi" w:cstheme="majorHAnsi"/>
          <w:i/>
          <w:iCs/>
          <w:sz w:val="22"/>
          <w:szCs w:val="22"/>
        </w:rPr>
      </w:pPr>
      <w:r>
        <w:rPr>
          <w:rFonts w:ascii="Helvetica" w:hAnsi="Helvetica" w:cs="Helvetica"/>
          <w:color w:val="574C45"/>
          <w:sz w:val="18"/>
          <w:szCs w:val="18"/>
        </w:rPr>
        <w:t>The CTE Leadership Committee provides recommendations on career and technical education issues. Through recommendations to the ASCCC Executive Committee, the committee provides assistance to community college districts to ensure that career technical education and its instruction is responsive and aligned to current and emergent industry trends, and ensures that similar courses, programs, and degrees are portable among community college districts, while expanding the participation of CTE faculty in leadership roles at the local, regional, and statewide levels through its ongoing professional development efforts</w:t>
      </w:r>
      <w:r w:rsidR="007C0C74" w:rsidRPr="008A27EB">
        <w:rPr>
          <w:rFonts w:asciiTheme="majorHAnsi" w:hAnsiTheme="majorHAnsi" w:cstheme="majorHAnsi"/>
          <w:i/>
          <w:iCs/>
          <w:color w:val="574C45"/>
          <w:sz w:val="22"/>
          <w:szCs w:val="22"/>
        </w:rPr>
        <w:t>.</w:t>
      </w:r>
      <w:r w:rsidR="004B62D3" w:rsidRPr="008A27EB">
        <w:rPr>
          <w:rFonts w:asciiTheme="majorHAnsi" w:hAnsiTheme="majorHAnsi" w:cstheme="majorHAnsi"/>
          <w:i/>
          <w:iCs/>
          <w:sz w:val="22"/>
          <w:szCs w:val="22"/>
        </w:rPr>
        <w:t xml:space="preserve"> </w:t>
      </w:r>
    </w:p>
    <w:p w14:paraId="063F0D47" w14:textId="77777777" w:rsidR="003B440A" w:rsidRDefault="00D55C94" w:rsidP="00BB64DB">
      <w:pPr>
        <w:numPr>
          <w:ilvl w:val="1"/>
          <w:numId w:val="7"/>
        </w:numPr>
        <w:rPr>
          <w:rFonts w:asciiTheme="majorHAnsi" w:hAnsiTheme="majorHAnsi"/>
        </w:rPr>
      </w:pPr>
      <w:r>
        <w:rPr>
          <w:rFonts w:asciiTheme="majorHAnsi" w:hAnsiTheme="majorHAnsi"/>
        </w:rPr>
        <w:t>Assigned Resolutions</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2B97456B" w14:textId="33FA2DEA" w:rsidR="003B440A" w:rsidRDefault="003B440A" w:rsidP="003B440A">
      <w:pPr>
        <w:pStyle w:val="ListParagraph"/>
        <w:numPr>
          <w:ilvl w:val="2"/>
          <w:numId w:val="7"/>
        </w:numPr>
        <w:rPr>
          <w:rFonts w:asciiTheme="majorHAnsi" w:hAnsiTheme="majorHAnsi"/>
        </w:rPr>
      </w:pPr>
      <w:r>
        <w:rPr>
          <w:rFonts w:asciiTheme="majorHAnsi" w:hAnsiTheme="majorHAnsi"/>
        </w:rPr>
        <w:t>Rostrums, Resolutions</w:t>
      </w:r>
    </w:p>
    <w:p w14:paraId="1FC04798" w14:textId="2F10ED85" w:rsidR="00906D5E" w:rsidRDefault="00906D5E" w:rsidP="003B440A">
      <w:pPr>
        <w:pStyle w:val="ListParagraph"/>
        <w:numPr>
          <w:ilvl w:val="2"/>
          <w:numId w:val="7"/>
        </w:numPr>
        <w:rPr>
          <w:rFonts w:asciiTheme="majorHAnsi" w:hAnsiTheme="majorHAnsi"/>
        </w:rPr>
      </w:pPr>
      <w:r>
        <w:rPr>
          <w:rFonts w:asciiTheme="majorHAnsi" w:hAnsiTheme="majorHAnsi"/>
        </w:rPr>
        <w:t>Engage CTE Liaisons: memos/webinars/other?</w:t>
      </w: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11568020" w14:textId="126F634F"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p>
    <w:p w14:paraId="5641787B" w14:textId="4ED18912" w:rsidR="00F60C8B" w:rsidRDefault="00F60C8B" w:rsidP="00F60C8B">
      <w:pPr>
        <w:pStyle w:val="ListParagraph"/>
        <w:numPr>
          <w:ilvl w:val="2"/>
          <w:numId w:val="7"/>
        </w:numPr>
        <w:rPr>
          <w:rFonts w:asciiTheme="majorHAnsi" w:hAnsiTheme="majorHAnsi"/>
        </w:rPr>
      </w:pPr>
      <w:r>
        <w:rPr>
          <w:rFonts w:asciiTheme="majorHAnsi" w:hAnsiTheme="majorHAnsi"/>
        </w:rPr>
        <w:t>Face-to-face (fall/spring)</w:t>
      </w:r>
    </w:p>
    <w:p w14:paraId="27DB1AC6" w14:textId="77777777" w:rsidR="00F60C8B" w:rsidRDefault="00F60C8B" w:rsidP="00F60C8B">
      <w:pPr>
        <w:pStyle w:val="ListParagraph"/>
        <w:ind w:left="1440"/>
        <w:rPr>
          <w:rFonts w:asciiTheme="majorHAnsi" w:hAnsiTheme="majorHAnsi"/>
        </w:rPr>
      </w:pPr>
    </w:p>
    <w:p w14:paraId="34BE6927" w14:textId="39F34FA5" w:rsidR="00F60C8B" w:rsidRDefault="00103922" w:rsidP="00F60C8B">
      <w:pPr>
        <w:pStyle w:val="ListParagraph"/>
        <w:numPr>
          <w:ilvl w:val="0"/>
          <w:numId w:val="7"/>
        </w:numPr>
        <w:rPr>
          <w:rFonts w:asciiTheme="majorHAnsi" w:hAnsiTheme="majorHAnsi"/>
        </w:rPr>
      </w:pPr>
      <w:r>
        <w:rPr>
          <w:rFonts w:asciiTheme="majorHAnsi" w:hAnsiTheme="majorHAnsi"/>
        </w:rPr>
        <w:t>CTE Leadership Priorities</w:t>
      </w:r>
    </w:p>
    <w:p w14:paraId="0C770BD3" w14:textId="6B12CBD0" w:rsidR="00F60C8B" w:rsidRDefault="00103922" w:rsidP="00F60C8B">
      <w:pPr>
        <w:pStyle w:val="ListParagraph"/>
        <w:numPr>
          <w:ilvl w:val="1"/>
          <w:numId w:val="7"/>
        </w:numPr>
        <w:rPr>
          <w:rFonts w:asciiTheme="majorHAnsi" w:hAnsiTheme="majorHAnsi"/>
        </w:rPr>
      </w:pPr>
      <w:r>
        <w:rPr>
          <w:rFonts w:asciiTheme="majorHAnsi" w:hAnsiTheme="majorHAnsi"/>
        </w:rPr>
        <w:t xml:space="preserve">Focus on </w:t>
      </w:r>
      <w:r w:rsidR="003B440A">
        <w:rPr>
          <w:rFonts w:asciiTheme="majorHAnsi" w:hAnsiTheme="majorHAnsi"/>
        </w:rPr>
        <w:t xml:space="preserve">ASCCC </w:t>
      </w:r>
      <w:r w:rsidR="00F60C8B" w:rsidRPr="00F60C8B">
        <w:rPr>
          <w:rFonts w:asciiTheme="majorHAnsi" w:hAnsiTheme="majorHAnsi"/>
        </w:rPr>
        <w:t>Strategic Plan</w:t>
      </w:r>
    </w:p>
    <w:p w14:paraId="6B7FE50B" w14:textId="771EAB1C" w:rsidR="003B440A" w:rsidRDefault="003B440A" w:rsidP="003B440A">
      <w:pPr>
        <w:pStyle w:val="ListParagraph"/>
        <w:numPr>
          <w:ilvl w:val="2"/>
          <w:numId w:val="7"/>
        </w:numPr>
        <w:rPr>
          <w:rFonts w:asciiTheme="majorHAnsi" w:hAnsiTheme="majorHAnsi"/>
        </w:rPr>
      </w:pPr>
      <w:r>
        <w:rPr>
          <w:rFonts w:asciiTheme="majorHAnsi" w:hAnsiTheme="majorHAnsi"/>
        </w:rPr>
        <w:t>Faculty Diversification, Shared Governance, Guided Pathways</w:t>
      </w:r>
    </w:p>
    <w:p w14:paraId="05090821" w14:textId="46898E23" w:rsidR="00103922" w:rsidRDefault="00F60C8B" w:rsidP="0044597E">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xml:space="preserve"> </w:t>
      </w:r>
    </w:p>
    <w:p w14:paraId="297C8E97" w14:textId="4B176298" w:rsidR="003B440A" w:rsidRDefault="003B440A" w:rsidP="00103922">
      <w:pPr>
        <w:pStyle w:val="ListParagraph"/>
        <w:numPr>
          <w:ilvl w:val="2"/>
          <w:numId w:val="7"/>
        </w:numPr>
        <w:rPr>
          <w:rFonts w:asciiTheme="majorHAnsi" w:hAnsiTheme="majorHAnsi"/>
        </w:rPr>
      </w:pPr>
      <w:r>
        <w:rPr>
          <w:rFonts w:asciiTheme="majorHAnsi" w:hAnsiTheme="majorHAnsi"/>
        </w:rPr>
        <w:t>TBD</w:t>
      </w:r>
    </w:p>
    <w:p w14:paraId="69723E52" w14:textId="15B3E0FF" w:rsidR="0044597E" w:rsidRPr="0044597E" w:rsidRDefault="0044597E" w:rsidP="0044597E">
      <w:pPr>
        <w:pStyle w:val="ListParagraph"/>
        <w:numPr>
          <w:ilvl w:val="2"/>
          <w:numId w:val="7"/>
        </w:numPr>
        <w:rPr>
          <w:rFonts w:asciiTheme="majorHAnsi" w:hAnsiTheme="majorHAnsi"/>
        </w:rPr>
      </w:pPr>
      <w:r>
        <w:rPr>
          <w:rFonts w:asciiTheme="majorHAnsi" w:hAnsiTheme="majorHAnsi"/>
        </w:rPr>
        <w:t>CTE Minimum Qualifications Toolkit</w:t>
      </w:r>
      <w:r w:rsidR="00103922">
        <w:rPr>
          <w:rFonts w:asciiTheme="majorHAnsi" w:hAnsiTheme="majorHAnsi"/>
        </w:rPr>
        <w:t xml:space="preserve"> information dissemination</w:t>
      </w:r>
    </w:p>
    <w:p w14:paraId="1F7F187F" w14:textId="261EBEBE" w:rsidR="00412492" w:rsidRDefault="00412492" w:rsidP="00C91790">
      <w:pPr>
        <w:jc w:val="both"/>
        <w:rPr>
          <w:rFonts w:asciiTheme="majorHAnsi" w:hAnsiTheme="majorHAnsi"/>
        </w:rPr>
      </w:pPr>
    </w:p>
    <w:p w14:paraId="04883354" w14:textId="7825C8BF" w:rsidR="00103922" w:rsidRDefault="00103922" w:rsidP="00C91790">
      <w:pPr>
        <w:jc w:val="both"/>
        <w:rPr>
          <w:rFonts w:asciiTheme="majorHAnsi" w:hAnsiTheme="majorHAnsi"/>
        </w:rPr>
      </w:pPr>
    </w:p>
    <w:p w14:paraId="5C93402B" w14:textId="77777777" w:rsidR="00103922" w:rsidRPr="00C91790" w:rsidRDefault="00103922" w:rsidP="00C91790">
      <w:pPr>
        <w:jc w:val="both"/>
        <w:rPr>
          <w:rFonts w:asciiTheme="majorHAnsi" w:hAnsiTheme="majorHAnsi"/>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C27810" w:rsidP="002C20EF">
      <w:pPr>
        <w:numPr>
          <w:ilvl w:val="1"/>
          <w:numId w:val="7"/>
        </w:numPr>
        <w:rPr>
          <w:rFonts w:asciiTheme="majorHAnsi" w:hAnsiTheme="majorHAnsi"/>
        </w:rPr>
      </w:pPr>
      <w:hyperlink r:id="rId10"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2B464D78" w14:textId="5099E6E6" w:rsidR="002C20EF" w:rsidRDefault="00C27810" w:rsidP="00EA2C86">
      <w:pPr>
        <w:numPr>
          <w:ilvl w:val="2"/>
          <w:numId w:val="7"/>
        </w:numPr>
        <w:rPr>
          <w:rFonts w:asciiTheme="majorHAnsi" w:hAnsiTheme="majorHAnsi"/>
        </w:rPr>
      </w:pPr>
      <w:hyperlink r:id="rId11" w:history="1">
        <w:r w:rsidR="00027722" w:rsidRPr="00027722">
          <w:rPr>
            <w:rStyle w:val="Hyperlink"/>
            <w:rFonts w:asciiTheme="majorHAnsi" w:hAnsiTheme="majorHAnsi"/>
          </w:rPr>
          <w:t xml:space="preserve">ASCCC </w:t>
        </w:r>
        <w:r w:rsidR="003B440A" w:rsidRPr="00027722">
          <w:rPr>
            <w:rStyle w:val="Hyperlink"/>
            <w:rFonts w:asciiTheme="majorHAnsi" w:hAnsiTheme="majorHAnsi"/>
          </w:rPr>
          <w:t>Fall Plenary</w:t>
        </w:r>
        <w:r w:rsidR="00027722" w:rsidRPr="00027722">
          <w:rPr>
            <w:rStyle w:val="Hyperlink"/>
            <w:rFonts w:asciiTheme="majorHAnsi" w:hAnsiTheme="majorHAnsi"/>
          </w:rPr>
          <w:t xml:space="preserve"> Session</w:t>
        </w:r>
      </w:hyperlink>
      <w:r w:rsidR="007C0C74" w:rsidRPr="00EA2C86">
        <w:rPr>
          <w:rFonts w:asciiTheme="majorHAnsi" w:hAnsiTheme="majorHAnsi"/>
        </w:rPr>
        <w:t xml:space="preserve"> </w:t>
      </w:r>
    </w:p>
    <w:p w14:paraId="71A628E2" w14:textId="113D334B" w:rsidR="00906D5E" w:rsidRPr="00EA2C86" w:rsidRDefault="00C27810" w:rsidP="00EA2C86">
      <w:pPr>
        <w:numPr>
          <w:ilvl w:val="2"/>
          <w:numId w:val="7"/>
        </w:numPr>
        <w:rPr>
          <w:rFonts w:asciiTheme="majorHAnsi" w:hAnsiTheme="majorHAnsi"/>
        </w:rPr>
      </w:pPr>
      <w:hyperlink r:id="rId12" w:history="1">
        <w:r w:rsidR="00906D5E" w:rsidRPr="00027722">
          <w:rPr>
            <w:rStyle w:val="Hyperlink"/>
            <w:rFonts w:asciiTheme="majorHAnsi" w:hAnsiTheme="majorHAnsi"/>
          </w:rPr>
          <w:t>Career/Non-Credit Institute</w:t>
        </w:r>
      </w:hyperlink>
      <w:r w:rsidR="00906D5E">
        <w:rPr>
          <w:rFonts w:asciiTheme="majorHAnsi" w:hAnsiTheme="majorHAnsi"/>
        </w:rPr>
        <w:t xml:space="preserve"> April</w:t>
      </w:r>
      <w:r w:rsidR="00027722">
        <w:rPr>
          <w:rFonts w:asciiTheme="majorHAnsi" w:hAnsiTheme="majorHAnsi"/>
        </w:rPr>
        <w:t xml:space="preserve"> 30</w:t>
      </w:r>
      <w:r w:rsidR="00027722" w:rsidRPr="00027722">
        <w:rPr>
          <w:rFonts w:asciiTheme="majorHAnsi" w:hAnsiTheme="majorHAnsi"/>
          <w:vertAlign w:val="superscript"/>
        </w:rPr>
        <w:t>th</w:t>
      </w:r>
      <w:r w:rsidR="00027722">
        <w:rPr>
          <w:rFonts w:asciiTheme="majorHAnsi" w:hAnsiTheme="majorHAnsi"/>
        </w:rPr>
        <w:t xml:space="preserve"> – May 2</w:t>
      </w:r>
      <w:r w:rsidR="00027722" w:rsidRPr="00027722">
        <w:rPr>
          <w:rFonts w:asciiTheme="majorHAnsi" w:hAnsiTheme="majorHAnsi"/>
          <w:vertAlign w:val="superscript"/>
        </w:rPr>
        <w:t>nd</w:t>
      </w:r>
      <w:r w:rsidR="00027722">
        <w:rPr>
          <w:rFonts w:asciiTheme="majorHAnsi" w:hAnsiTheme="majorHAnsi"/>
        </w:rPr>
        <w:t xml:space="preserve"> </w:t>
      </w:r>
      <w:r w:rsidR="00906D5E">
        <w:rPr>
          <w:rFonts w:asciiTheme="majorHAnsi" w:hAnsiTheme="majorHAnsi"/>
        </w:rPr>
        <w:t>2020</w:t>
      </w:r>
    </w:p>
    <w:p w14:paraId="26C3904C" w14:textId="568E14C5" w:rsidR="00027722" w:rsidRDefault="00027722" w:rsidP="00AB35FC">
      <w:pPr>
        <w:numPr>
          <w:ilvl w:val="1"/>
          <w:numId w:val="7"/>
        </w:numPr>
        <w:rPr>
          <w:rFonts w:asciiTheme="majorHAnsi" w:hAnsiTheme="majorHAnsi"/>
        </w:rPr>
      </w:pPr>
      <w:r>
        <w:rPr>
          <w:rFonts w:asciiTheme="majorHAnsi" w:hAnsiTheme="majorHAnsi"/>
        </w:rPr>
        <w:t>ASCCC</w:t>
      </w:r>
      <w:r w:rsidR="00635658">
        <w:rPr>
          <w:rFonts w:asciiTheme="majorHAnsi" w:hAnsiTheme="majorHAnsi"/>
        </w:rPr>
        <w:t>/Other</w:t>
      </w:r>
      <w:bookmarkStart w:id="0" w:name="_GoBack"/>
      <w:bookmarkEnd w:id="0"/>
      <w:r>
        <w:rPr>
          <w:rFonts w:asciiTheme="majorHAnsi" w:hAnsiTheme="majorHAnsi"/>
        </w:rPr>
        <w:t xml:space="preserve"> Committee Reports</w:t>
      </w:r>
    </w:p>
    <w:p w14:paraId="0DC0C050" w14:textId="15F9AF37" w:rsidR="00AB35FC" w:rsidRDefault="008A27EB" w:rsidP="00AB35FC">
      <w:pPr>
        <w:numPr>
          <w:ilvl w:val="1"/>
          <w:numId w:val="7"/>
        </w:numPr>
        <w:rPr>
          <w:rFonts w:asciiTheme="majorHAnsi" w:hAnsiTheme="majorHAnsi"/>
        </w:rPr>
      </w:pPr>
      <w:r>
        <w:rPr>
          <w:rFonts w:asciiTheme="majorHAnsi" w:hAnsiTheme="majorHAnsi"/>
        </w:rPr>
        <w:t>Resources:</w:t>
      </w:r>
    </w:p>
    <w:p w14:paraId="10FA6A33" w14:textId="42430186" w:rsidR="00027722" w:rsidRDefault="00FA3F58" w:rsidP="00AB35FC">
      <w:pPr>
        <w:numPr>
          <w:ilvl w:val="2"/>
          <w:numId w:val="7"/>
        </w:numPr>
        <w:rPr>
          <w:rFonts w:asciiTheme="majorHAnsi" w:hAnsiTheme="majorHAnsi"/>
        </w:rPr>
      </w:pPr>
      <w:hyperlink r:id="rId13" w:history="1">
        <w:r w:rsidR="00AB35FC" w:rsidRPr="00FA3F58">
          <w:rPr>
            <w:rStyle w:val="Hyperlink"/>
            <w:rFonts w:asciiTheme="majorHAnsi" w:hAnsiTheme="majorHAnsi"/>
          </w:rPr>
          <w:t xml:space="preserve">CTE </w:t>
        </w:r>
        <w:r w:rsidR="00BD402A" w:rsidRPr="00FA3F58">
          <w:rPr>
            <w:rStyle w:val="Hyperlink"/>
            <w:rFonts w:asciiTheme="majorHAnsi" w:hAnsiTheme="majorHAnsi"/>
          </w:rPr>
          <w:t xml:space="preserve">Minimum Qualifications </w:t>
        </w:r>
        <w:r w:rsidR="00AB35FC" w:rsidRPr="00FA3F58">
          <w:rPr>
            <w:rStyle w:val="Hyperlink"/>
            <w:rFonts w:asciiTheme="majorHAnsi" w:hAnsiTheme="majorHAnsi"/>
          </w:rPr>
          <w:t>Toolkit</w:t>
        </w:r>
      </w:hyperlink>
    </w:p>
    <w:p w14:paraId="5977CCA5" w14:textId="7AAD376B" w:rsidR="00EA7D8F" w:rsidRPr="00AB35FC" w:rsidRDefault="00C27810" w:rsidP="00AB35FC">
      <w:pPr>
        <w:numPr>
          <w:ilvl w:val="2"/>
          <w:numId w:val="7"/>
        </w:numPr>
        <w:rPr>
          <w:rFonts w:asciiTheme="majorHAnsi" w:hAnsiTheme="majorHAnsi"/>
        </w:rPr>
      </w:pPr>
      <w:hyperlink r:id="rId14" w:history="1">
        <w:r w:rsidR="00027722" w:rsidRPr="00027722">
          <w:rPr>
            <w:rStyle w:val="Hyperlink"/>
            <w:rFonts w:asciiTheme="majorHAnsi" w:hAnsiTheme="majorHAnsi"/>
          </w:rPr>
          <w:t>CTE Liaisons</w:t>
        </w:r>
      </w:hyperlink>
      <w:r w:rsidR="00F720A3" w:rsidRPr="00AB35FC">
        <w:rPr>
          <w:rFonts w:asciiTheme="majorHAnsi" w:hAnsiTheme="majorHAnsi"/>
        </w:rPr>
        <w:br/>
      </w: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77777777" w:rsidR="00D66C18" w:rsidRPr="00F720A3" w:rsidRDefault="00D66C18" w:rsidP="002B186E">
      <w:pPr>
        <w:rPr>
          <w:rFonts w:asciiTheme="majorHAnsi" w:hAnsiTheme="majorHAnsi"/>
        </w:rPr>
      </w:pPr>
    </w:p>
    <w:p w14:paraId="18150FF1" w14:textId="182EBDAD" w:rsidR="004B62D3" w:rsidRPr="00B7429C"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sectPr w:rsidR="004B62D3" w:rsidRPr="00B7429C"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42BB" w14:textId="77777777" w:rsidR="00C27810" w:rsidRDefault="00C27810">
      <w:r>
        <w:separator/>
      </w:r>
    </w:p>
  </w:endnote>
  <w:endnote w:type="continuationSeparator" w:id="0">
    <w:p w14:paraId="55277D30" w14:textId="77777777" w:rsidR="00C27810" w:rsidRDefault="00C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FC7A" w14:textId="77777777" w:rsidR="00C27810" w:rsidRDefault="00C27810">
      <w:r>
        <w:separator/>
      </w:r>
    </w:p>
  </w:footnote>
  <w:footnote w:type="continuationSeparator" w:id="0">
    <w:p w14:paraId="706DC5E9" w14:textId="77777777" w:rsidR="00C27810" w:rsidRDefault="00C2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7722"/>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3922"/>
    <w:rsid w:val="00105D15"/>
    <w:rsid w:val="001132AF"/>
    <w:rsid w:val="001159E8"/>
    <w:rsid w:val="001247C0"/>
    <w:rsid w:val="00124D85"/>
    <w:rsid w:val="00132EDB"/>
    <w:rsid w:val="0016495D"/>
    <w:rsid w:val="00167C66"/>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69D0"/>
    <w:rsid w:val="0036640B"/>
    <w:rsid w:val="00377EEC"/>
    <w:rsid w:val="003906EA"/>
    <w:rsid w:val="00395567"/>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4597E"/>
    <w:rsid w:val="004502C2"/>
    <w:rsid w:val="0045174E"/>
    <w:rsid w:val="00452FBB"/>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3EBD"/>
    <w:rsid w:val="005D5030"/>
    <w:rsid w:val="005D5088"/>
    <w:rsid w:val="005F4210"/>
    <w:rsid w:val="00600A30"/>
    <w:rsid w:val="00603B12"/>
    <w:rsid w:val="00605397"/>
    <w:rsid w:val="006109EF"/>
    <w:rsid w:val="00616C94"/>
    <w:rsid w:val="00625747"/>
    <w:rsid w:val="00626D22"/>
    <w:rsid w:val="00635658"/>
    <w:rsid w:val="0064085C"/>
    <w:rsid w:val="00641B80"/>
    <w:rsid w:val="00657C17"/>
    <w:rsid w:val="00676C02"/>
    <w:rsid w:val="00680F12"/>
    <w:rsid w:val="00685FB0"/>
    <w:rsid w:val="00687FC9"/>
    <w:rsid w:val="006B7636"/>
    <w:rsid w:val="006C2E8F"/>
    <w:rsid w:val="006D2259"/>
    <w:rsid w:val="006E3AB7"/>
    <w:rsid w:val="006F0751"/>
    <w:rsid w:val="006F5E43"/>
    <w:rsid w:val="006F7A01"/>
    <w:rsid w:val="00704DB2"/>
    <w:rsid w:val="00707D8F"/>
    <w:rsid w:val="007106F1"/>
    <w:rsid w:val="00722839"/>
    <w:rsid w:val="00726AB2"/>
    <w:rsid w:val="00755F42"/>
    <w:rsid w:val="0076476B"/>
    <w:rsid w:val="0078283E"/>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06D5E"/>
    <w:rsid w:val="00911052"/>
    <w:rsid w:val="00934695"/>
    <w:rsid w:val="00940548"/>
    <w:rsid w:val="00963F3A"/>
    <w:rsid w:val="0096544C"/>
    <w:rsid w:val="009704F7"/>
    <w:rsid w:val="00981907"/>
    <w:rsid w:val="00982004"/>
    <w:rsid w:val="009A22D2"/>
    <w:rsid w:val="009B0563"/>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B35FC"/>
    <w:rsid w:val="00AB4172"/>
    <w:rsid w:val="00AB5874"/>
    <w:rsid w:val="00AC1CDE"/>
    <w:rsid w:val="00AC2B84"/>
    <w:rsid w:val="00AC4CDB"/>
    <w:rsid w:val="00AD175B"/>
    <w:rsid w:val="00AD18BC"/>
    <w:rsid w:val="00AD7B9C"/>
    <w:rsid w:val="00AE43CB"/>
    <w:rsid w:val="00AE58D9"/>
    <w:rsid w:val="00AF0632"/>
    <w:rsid w:val="00AF323E"/>
    <w:rsid w:val="00B06AA0"/>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402A"/>
    <w:rsid w:val="00BD48DB"/>
    <w:rsid w:val="00BE033E"/>
    <w:rsid w:val="00BE2C02"/>
    <w:rsid w:val="00BE4EE6"/>
    <w:rsid w:val="00BF478C"/>
    <w:rsid w:val="00BF737A"/>
    <w:rsid w:val="00C14311"/>
    <w:rsid w:val="00C23EB9"/>
    <w:rsid w:val="00C27810"/>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91BB7"/>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C2EEB"/>
    <w:rsid w:val="00EE3588"/>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A3F5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sccc.org/content/application-statewide-service" TargetMode="External"/><Relationship Id="rId13" Type="http://schemas.openxmlformats.org/officeDocument/2006/relationships/hyperlink" Target="https://asccc.org/content/cte-mq-toolk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ccc.org/events/2020-04-30-160000-2020-05-02-190000/2020-career-and-noncredit-institu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events/2019-11-07-160000-2019-11-09-220000/2019-fall-plenary-ses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ccc.org/calendar/list/eve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directory/cte-leadership-committee" TargetMode="External"/><Relationship Id="rId14" Type="http://schemas.openxmlformats.org/officeDocument/2006/relationships/hyperlink" Target="https://asccc.org/cte-faculty-liai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2235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12</cp:revision>
  <cp:lastPrinted>2017-04-13T00:50:00Z</cp:lastPrinted>
  <dcterms:created xsi:type="dcterms:W3CDTF">2019-09-05T18:06:00Z</dcterms:created>
  <dcterms:modified xsi:type="dcterms:W3CDTF">2019-09-16T19:57:00Z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