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6D451" w14:textId="77777777" w:rsidR="00286890" w:rsidRPr="001B1A9D" w:rsidRDefault="00286890" w:rsidP="00286890">
      <w:pPr>
        <w:pStyle w:val="Title"/>
        <w:jc w:val="both"/>
        <w:rPr>
          <w:sz w:val="24"/>
          <w:szCs w:val="24"/>
        </w:rPr>
      </w:pPr>
      <w:r w:rsidRPr="001B1A9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E7577F" wp14:editId="798FC433">
            <wp:simplePos x="0" y="0"/>
            <wp:positionH relativeFrom="margin">
              <wp:posOffset>1813622</wp:posOffset>
            </wp:positionH>
            <wp:positionV relativeFrom="margin">
              <wp:posOffset>-175219</wp:posOffset>
            </wp:positionV>
            <wp:extent cx="3025570" cy="675291"/>
            <wp:effectExtent l="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570" cy="67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C20BB" w14:textId="77777777" w:rsidR="00286890" w:rsidRPr="001B1A9D" w:rsidRDefault="00286890" w:rsidP="00286890">
      <w:pPr>
        <w:pStyle w:val="Title"/>
        <w:rPr>
          <w:sz w:val="24"/>
          <w:szCs w:val="24"/>
        </w:rPr>
      </w:pPr>
    </w:p>
    <w:p w14:paraId="25EBB6D5" w14:textId="77777777" w:rsidR="00286890" w:rsidRPr="001B1A9D" w:rsidRDefault="00286890"/>
    <w:p w14:paraId="5ED1DDF9" w14:textId="77777777" w:rsidR="004522F4" w:rsidRPr="001B1A9D" w:rsidRDefault="004522F4"/>
    <w:p w14:paraId="43C4D880" w14:textId="6F35C88A" w:rsidR="00F43986" w:rsidRPr="001B1A9D" w:rsidRDefault="00511D9A" w:rsidP="00F43986">
      <w:pPr>
        <w:jc w:val="center"/>
        <w:rPr>
          <w:b/>
        </w:rPr>
      </w:pPr>
      <w:r>
        <w:rPr>
          <w:b/>
        </w:rPr>
        <w:t>Equity and Diversity Action Committee</w:t>
      </w:r>
    </w:p>
    <w:p w14:paraId="71B277DF" w14:textId="249FADA8" w:rsidR="00F43986" w:rsidRDefault="00581AE1" w:rsidP="00F43986">
      <w:pPr>
        <w:jc w:val="center"/>
      </w:pPr>
      <w:r>
        <w:t>October 7</w:t>
      </w:r>
      <w:r w:rsidR="00511D9A">
        <w:t>, 2020</w:t>
      </w:r>
    </w:p>
    <w:p w14:paraId="2D6DE680" w14:textId="703D32BE" w:rsidR="00511D9A" w:rsidRPr="001B1A9D" w:rsidRDefault="00511D9A" w:rsidP="00F43986">
      <w:pPr>
        <w:jc w:val="center"/>
      </w:pPr>
      <w:r>
        <w:t>1</w:t>
      </w:r>
      <w:r w:rsidR="00581AE1">
        <w:t>1</w:t>
      </w:r>
      <w:r>
        <w:t xml:space="preserve">:30 </w:t>
      </w:r>
      <w:r w:rsidR="00581AE1">
        <w:t>a</w:t>
      </w:r>
      <w:r>
        <w:t>m-</w:t>
      </w:r>
      <w:r w:rsidR="00581AE1">
        <w:t>12:30</w:t>
      </w:r>
      <w:r>
        <w:t xml:space="preserve"> pm</w:t>
      </w:r>
    </w:p>
    <w:p w14:paraId="66AD89E4" w14:textId="77777777" w:rsidR="00F43986" w:rsidRPr="001B1A9D" w:rsidRDefault="00F43986" w:rsidP="00F43986">
      <w:pPr>
        <w:jc w:val="center"/>
      </w:pPr>
    </w:p>
    <w:p w14:paraId="2A8FCE9D" w14:textId="2D1DC132" w:rsidR="00F43986" w:rsidRPr="001B1A9D" w:rsidRDefault="00511D9A" w:rsidP="00F43986">
      <w:pPr>
        <w:jc w:val="center"/>
        <w:rPr>
          <w:b/>
        </w:rPr>
      </w:pPr>
      <w:proofErr w:type="spellStart"/>
      <w:r>
        <w:rPr>
          <w:b/>
        </w:rPr>
        <w:t>ConferZoom</w:t>
      </w:r>
      <w:proofErr w:type="spellEnd"/>
    </w:p>
    <w:p w14:paraId="21793BFC" w14:textId="77777777" w:rsidR="00F43986" w:rsidRPr="001B1A9D" w:rsidRDefault="00F43986" w:rsidP="00F43986">
      <w:pPr>
        <w:jc w:val="center"/>
        <w:rPr>
          <w:b/>
        </w:rPr>
      </w:pPr>
    </w:p>
    <w:p w14:paraId="42FF07AA" w14:textId="6A88D5BB" w:rsidR="00F43986" w:rsidRPr="001B1A9D" w:rsidRDefault="00F43986" w:rsidP="00F43986">
      <w:pPr>
        <w:jc w:val="center"/>
        <w:rPr>
          <w:color w:val="FF0000"/>
        </w:rPr>
      </w:pPr>
      <w:r w:rsidRPr="001B1A9D">
        <w:rPr>
          <w:color w:val="FF0000"/>
        </w:rPr>
        <w:t>MINUTES</w:t>
      </w:r>
      <w:r w:rsidR="00684EEE">
        <w:rPr>
          <w:color w:val="FF0000"/>
        </w:rPr>
        <w:t xml:space="preserve"> </w:t>
      </w:r>
      <w:bookmarkStart w:id="0" w:name="_GoBack"/>
      <w:bookmarkEnd w:id="0"/>
    </w:p>
    <w:p w14:paraId="4CD5EBC9" w14:textId="77777777" w:rsidR="00F43986" w:rsidRPr="001B1A9D" w:rsidRDefault="00F43986" w:rsidP="00F43986"/>
    <w:p w14:paraId="45C34E7E" w14:textId="5910ACDB" w:rsidR="00F43986" w:rsidRPr="001B1A9D" w:rsidRDefault="00F43986" w:rsidP="00F43986">
      <w:pPr>
        <w:rPr>
          <w:b/>
        </w:rPr>
      </w:pPr>
      <w:r w:rsidRPr="001B1A9D">
        <w:rPr>
          <w:b/>
        </w:rPr>
        <w:t>Members Present</w:t>
      </w:r>
      <w:r w:rsidRPr="001B1A9D">
        <w:t xml:space="preserve">: </w:t>
      </w:r>
      <w:r w:rsidR="00D5041C">
        <w:t xml:space="preserve">LaTonya Parker (chair), </w:t>
      </w:r>
      <w:proofErr w:type="spellStart"/>
      <w:r w:rsidR="00D5041C">
        <w:t>Ginni</w:t>
      </w:r>
      <w:proofErr w:type="spellEnd"/>
      <w:r w:rsidR="00D5041C">
        <w:t xml:space="preserve"> May (2</w:t>
      </w:r>
      <w:r w:rsidR="00D5041C" w:rsidRPr="00D5041C">
        <w:rPr>
          <w:vertAlign w:val="superscript"/>
        </w:rPr>
        <w:t>nd</w:t>
      </w:r>
      <w:r w:rsidR="00D5041C">
        <w:t xml:space="preserve">), Peggy Campo, </w:t>
      </w:r>
      <w:proofErr w:type="spellStart"/>
      <w:r w:rsidR="00D5041C">
        <w:t>Abdimalik</w:t>
      </w:r>
      <w:proofErr w:type="spellEnd"/>
      <w:r w:rsidR="00D5041C">
        <w:t xml:space="preserve"> </w:t>
      </w:r>
      <w:proofErr w:type="spellStart"/>
      <w:r w:rsidR="00D5041C">
        <w:t>Buul</w:t>
      </w:r>
      <w:proofErr w:type="spellEnd"/>
      <w:r w:rsidR="00D5041C">
        <w:t xml:space="preserve">, Jamar London, </w:t>
      </w:r>
      <w:proofErr w:type="spellStart"/>
      <w:r w:rsidR="00D5041C">
        <w:t>LaTanga</w:t>
      </w:r>
      <w:proofErr w:type="spellEnd"/>
      <w:r w:rsidR="00D5041C">
        <w:t xml:space="preserve"> Hardy</w:t>
      </w:r>
    </w:p>
    <w:p w14:paraId="21533086" w14:textId="77777777" w:rsidR="00F43986" w:rsidRPr="001B1A9D" w:rsidRDefault="00F43986" w:rsidP="00F43986"/>
    <w:p w14:paraId="0F79493E" w14:textId="432CB300" w:rsidR="00F43986" w:rsidRPr="001B1A9D" w:rsidRDefault="000852CC" w:rsidP="00F43986">
      <w:pPr>
        <w:pStyle w:val="ListParagraph"/>
        <w:numPr>
          <w:ilvl w:val="0"/>
          <w:numId w:val="3"/>
        </w:numPr>
      </w:pPr>
      <w:r>
        <w:t>Call to Order</w:t>
      </w:r>
      <w:r w:rsidR="00D646F9">
        <w:t xml:space="preserve"> at </w:t>
      </w:r>
      <w:r w:rsidR="008C0151">
        <w:t>11:3</w:t>
      </w:r>
      <w:r w:rsidR="00F45B1D">
        <w:t>3</w:t>
      </w:r>
      <w:r w:rsidR="008C0151">
        <w:t xml:space="preserve"> am</w:t>
      </w:r>
    </w:p>
    <w:p w14:paraId="3AFB8AB8" w14:textId="77777777" w:rsidR="00F43986" w:rsidRPr="001B1A9D" w:rsidRDefault="00F43986" w:rsidP="00F43986">
      <w:pPr>
        <w:pStyle w:val="ListParagraph"/>
      </w:pPr>
    </w:p>
    <w:p w14:paraId="5F057B5A" w14:textId="24852906" w:rsidR="00F43986" w:rsidRPr="001B1A9D" w:rsidRDefault="00F43986" w:rsidP="00F43986">
      <w:pPr>
        <w:pStyle w:val="ListParagraph"/>
        <w:numPr>
          <w:ilvl w:val="0"/>
          <w:numId w:val="3"/>
        </w:numPr>
      </w:pPr>
      <w:r w:rsidRPr="001B1A9D">
        <w:t>Approval of Agenda</w:t>
      </w:r>
      <w:r w:rsidR="00D646F9">
        <w:t xml:space="preserve">: M/S/P – </w:t>
      </w:r>
      <w:r w:rsidR="00F45B1D">
        <w:t>Peggy/</w:t>
      </w:r>
      <w:proofErr w:type="spellStart"/>
      <w:r w:rsidR="00F45B1D">
        <w:t>LaTanga</w:t>
      </w:r>
      <w:proofErr w:type="spellEnd"/>
    </w:p>
    <w:p w14:paraId="705A029C" w14:textId="77777777" w:rsidR="00F43986" w:rsidRPr="001B1A9D" w:rsidRDefault="00F43986" w:rsidP="00F43986"/>
    <w:p w14:paraId="48230F7C" w14:textId="02F00A6E" w:rsidR="00F43986" w:rsidRDefault="000852CC" w:rsidP="00F43986">
      <w:pPr>
        <w:pStyle w:val="ListParagraph"/>
        <w:numPr>
          <w:ilvl w:val="0"/>
          <w:numId w:val="3"/>
        </w:numPr>
      </w:pPr>
      <w:r>
        <w:t>Check-in</w:t>
      </w:r>
      <w:r w:rsidR="00D646F9">
        <w:t xml:space="preserve">: Committee members </w:t>
      </w:r>
      <w:r w:rsidR="0068309D">
        <w:t>checked-in and shared a highlight about their current lives</w:t>
      </w:r>
      <w:r w:rsidR="00D646F9">
        <w:t>.</w:t>
      </w:r>
    </w:p>
    <w:p w14:paraId="49A257E6" w14:textId="77777777" w:rsidR="000852CC" w:rsidRDefault="000852CC" w:rsidP="000852CC">
      <w:pPr>
        <w:pStyle w:val="ListParagraph"/>
      </w:pPr>
    </w:p>
    <w:p w14:paraId="20F3F247" w14:textId="79E692DC" w:rsidR="000852CC" w:rsidRDefault="000852CC" w:rsidP="00F43986">
      <w:pPr>
        <w:pStyle w:val="ListParagraph"/>
        <w:numPr>
          <w:ilvl w:val="0"/>
          <w:numId w:val="3"/>
        </w:numPr>
      </w:pPr>
      <w:r>
        <w:t>Committee Responsibilities</w:t>
      </w:r>
      <w:r w:rsidR="00D646F9">
        <w:t xml:space="preserve">: The committee chair </w:t>
      </w:r>
      <w:r w:rsidR="00CE2520">
        <w:t>reminded the committee of</w:t>
      </w:r>
      <w:r w:rsidR="00D646F9">
        <w:t xml:space="preserve"> the priorities and scope of work for EDAC this fall:</w:t>
      </w:r>
    </w:p>
    <w:p w14:paraId="5CCDA578" w14:textId="77777777" w:rsidR="00DD2261" w:rsidRPr="00DD2261" w:rsidRDefault="00DD2261" w:rsidP="00DD2261"/>
    <w:p w14:paraId="1846A20B" w14:textId="49461D22" w:rsidR="00DD2261" w:rsidRPr="00DD2261" w:rsidRDefault="00DD2261" w:rsidP="00DD2261">
      <w:pPr>
        <w:pStyle w:val="ListParagraph"/>
        <w:numPr>
          <w:ilvl w:val="0"/>
          <w:numId w:val="10"/>
        </w:numPr>
      </w:pPr>
      <w:r w:rsidRPr="00DD2261">
        <w:t>ASCCC Areas of Focus for 2020-21</w:t>
      </w:r>
    </w:p>
    <w:p w14:paraId="68C34F1E" w14:textId="77777777" w:rsidR="00DD2261" w:rsidRPr="00DD2261" w:rsidRDefault="00DD2261" w:rsidP="00DD2261">
      <w:pPr>
        <w:pStyle w:val="ListParagraph"/>
        <w:numPr>
          <w:ilvl w:val="0"/>
          <w:numId w:val="11"/>
        </w:numPr>
      </w:pPr>
      <w:r w:rsidRPr="00DD2261">
        <w:t>Guided Pathways Implementation and Integration to Transfer and Careers</w:t>
      </w:r>
    </w:p>
    <w:p w14:paraId="27BF2AE9" w14:textId="77777777" w:rsidR="00DD2261" w:rsidRPr="00DD2261" w:rsidRDefault="00DD2261" w:rsidP="00DD2261">
      <w:pPr>
        <w:pStyle w:val="ListParagraph"/>
        <w:numPr>
          <w:ilvl w:val="0"/>
          <w:numId w:val="11"/>
        </w:numPr>
      </w:pPr>
      <w:r w:rsidRPr="00DD2261">
        <w:t xml:space="preserve">Culturally Responsive Student Services, Student Support, and Curriculum; </w:t>
      </w:r>
    </w:p>
    <w:p w14:paraId="6BDDED88" w14:textId="77777777" w:rsidR="00DD2261" w:rsidRPr="00DD2261" w:rsidRDefault="00DD2261" w:rsidP="00DD2261">
      <w:pPr>
        <w:pStyle w:val="ListParagraph"/>
        <w:numPr>
          <w:ilvl w:val="0"/>
          <w:numId w:val="11"/>
        </w:numPr>
      </w:pPr>
      <w:r w:rsidRPr="00DD2261">
        <w:t xml:space="preserve">Equity Driven Systems </w:t>
      </w:r>
    </w:p>
    <w:p w14:paraId="3BEE5FC9" w14:textId="77777777" w:rsidR="00DD2261" w:rsidRPr="00DD2261" w:rsidRDefault="00DD2261" w:rsidP="00DD2261"/>
    <w:p w14:paraId="42DD72B8" w14:textId="1D553EF0" w:rsidR="00DD2261" w:rsidRPr="00DD2261" w:rsidRDefault="00DD2261" w:rsidP="00DD2261">
      <w:pPr>
        <w:pStyle w:val="ListParagraph"/>
        <w:numPr>
          <w:ilvl w:val="0"/>
          <w:numId w:val="10"/>
        </w:numPr>
      </w:pPr>
      <w:r w:rsidRPr="00DD2261">
        <w:t xml:space="preserve">From the Chancellor’s Office Diversity, Equity, and Inclusion (DEI) Workgroup: </w:t>
      </w:r>
    </w:p>
    <w:p w14:paraId="4486C85F" w14:textId="77777777" w:rsidR="00DD2261" w:rsidRPr="00DD2261" w:rsidRDefault="00DD2261" w:rsidP="00DD2261">
      <w:pPr>
        <w:pStyle w:val="ListParagraph"/>
        <w:numPr>
          <w:ilvl w:val="0"/>
          <w:numId w:val="12"/>
        </w:numPr>
      </w:pPr>
      <w:r w:rsidRPr="00DD2261">
        <w:t xml:space="preserve">ASCCC, HR, and local union to review existing evaluation procedures. (Tier 1)* </w:t>
      </w:r>
    </w:p>
    <w:p w14:paraId="01C1C1F4" w14:textId="77777777" w:rsidR="00DD2261" w:rsidRPr="00DD2261" w:rsidRDefault="00DD2261" w:rsidP="00DD2261">
      <w:pPr>
        <w:pStyle w:val="ListParagraph"/>
        <w:numPr>
          <w:ilvl w:val="0"/>
          <w:numId w:val="12"/>
        </w:numPr>
      </w:pPr>
      <w:r w:rsidRPr="00DD2261">
        <w:t xml:space="preserve">ASCCC, HR, and local union to create a process where conversations about cultural competencies can happen outside the evaluation process. (Tier 1)* </w:t>
      </w:r>
    </w:p>
    <w:p w14:paraId="013A4E2A" w14:textId="77777777" w:rsidR="00DD2261" w:rsidRPr="00DD2261" w:rsidRDefault="00DD2261" w:rsidP="00DD2261"/>
    <w:p w14:paraId="34D54E4B" w14:textId="77777777" w:rsidR="00DD2261" w:rsidRPr="00DD2261" w:rsidRDefault="00DD2261" w:rsidP="00DD2261">
      <w:r w:rsidRPr="00DD2261">
        <w:t>*Tier 1 and Tier 2 activities are strategies that involve policy changes, changes to existing procedures, and or activities that promote supportive and inclusive behaviors. Aligned to the Vision for Success commitments, Tier 1 activities can be achieved in a 6-12 months’ timeline (CCCCO Call for Action June 2020)</w:t>
      </w:r>
    </w:p>
    <w:p w14:paraId="76296416" w14:textId="5780BB54" w:rsidR="00DD2261" w:rsidRDefault="00DD2261" w:rsidP="00DD2261"/>
    <w:p w14:paraId="009F5744" w14:textId="47241508" w:rsidR="00581AE1" w:rsidRDefault="00F45EE5" w:rsidP="00DD2261">
      <w:r>
        <w:t>The committee was reminded of the discussion during last month’s meeting</w:t>
      </w:r>
      <w:r w:rsidR="00581AE1">
        <w:t>:</w:t>
      </w:r>
    </w:p>
    <w:p w14:paraId="4046D6CE" w14:textId="77777777" w:rsidR="00581AE1" w:rsidRDefault="00581AE1" w:rsidP="00DD2261"/>
    <w:p w14:paraId="2BCE3F06" w14:textId="77777777" w:rsidR="00581AE1" w:rsidRPr="00581AE1" w:rsidRDefault="00581AE1" w:rsidP="00581AE1">
      <w:pPr>
        <w:pStyle w:val="ListParagraph"/>
        <w:numPr>
          <w:ilvl w:val="0"/>
          <w:numId w:val="20"/>
        </w:numPr>
      </w:pPr>
      <w:r w:rsidRPr="00581AE1">
        <w:t xml:space="preserve">Ways to examine and modify review processes, procedures, and structures. </w:t>
      </w:r>
    </w:p>
    <w:p w14:paraId="43AD4A75" w14:textId="77777777" w:rsidR="00581AE1" w:rsidRDefault="00581AE1" w:rsidP="00581AE1"/>
    <w:p w14:paraId="225497B5" w14:textId="54044A90" w:rsidR="00581AE1" w:rsidRPr="00581AE1" w:rsidRDefault="00581AE1" w:rsidP="00581AE1">
      <w:pPr>
        <w:pStyle w:val="ListParagraph"/>
        <w:numPr>
          <w:ilvl w:val="0"/>
          <w:numId w:val="20"/>
        </w:numPr>
      </w:pPr>
      <w:r w:rsidRPr="00581AE1">
        <w:t>Topics around accountability, explicit training, measurable outcomes, onboarding, eradicating systemic injustices, creating equity minded syllabi, inquire/interrogate/integrate, mentoring, and clarity about what faculty are being assessed on.</w:t>
      </w:r>
    </w:p>
    <w:p w14:paraId="7DE37A07" w14:textId="77777777" w:rsidR="00581AE1" w:rsidRDefault="00581AE1" w:rsidP="00581AE1"/>
    <w:p w14:paraId="224CBC05" w14:textId="3F1E0646" w:rsidR="00581AE1" w:rsidRPr="00581AE1" w:rsidRDefault="00581AE1" w:rsidP="00581AE1">
      <w:pPr>
        <w:pStyle w:val="ListParagraph"/>
        <w:numPr>
          <w:ilvl w:val="0"/>
          <w:numId w:val="20"/>
        </w:numPr>
        <w:jc w:val="both"/>
      </w:pPr>
      <w:r w:rsidRPr="00581AE1">
        <w:t xml:space="preserve">ASCCC, HR, and local union to review existing evaluation procedures.  </w:t>
      </w:r>
    </w:p>
    <w:p w14:paraId="454A4FCC" w14:textId="77777777" w:rsidR="00581AE1" w:rsidRDefault="00581AE1" w:rsidP="00581AE1"/>
    <w:p w14:paraId="74D5C74E" w14:textId="7C22274B" w:rsidR="00581AE1" w:rsidRPr="00581AE1" w:rsidRDefault="00581AE1" w:rsidP="00581AE1">
      <w:pPr>
        <w:pStyle w:val="ListParagraph"/>
        <w:numPr>
          <w:ilvl w:val="0"/>
          <w:numId w:val="20"/>
        </w:numPr>
      </w:pPr>
      <w:r w:rsidRPr="00581AE1">
        <w:t>Recommendations:</w:t>
      </w:r>
    </w:p>
    <w:p w14:paraId="658223B9" w14:textId="77777777" w:rsidR="00581AE1" w:rsidRDefault="00581AE1" w:rsidP="00581AE1">
      <w:pPr>
        <w:pStyle w:val="ListParagraph"/>
        <w:numPr>
          <w:ilvl w:val="1"/>
          <w:numId w:val="20"/>
        </w:numPr>
      </w:pPr>
      <w:r w:rsidRPr="00581AE1">
        <w:t>Faculty evaluation should be two-sided with a growth focus as opposed to a punitive focus and one of checking boxes.</w:t>
      </w:r>
    </w:p>
    <w:p w14:paraId="56D1CFB7" w14:textId="77777777" w:rsidR="00581AE1" w:rsidRDefault="00581AE1" w:rsidP="00581AE1">
      <w:pPr>
        <w:pStyle w:val="ListParagraph"/>
        <w:numPr>
          <w:ilvl w:val="1"/>
          <w:numId w:val="20"/>
        </w:numPr>
      </w:pPr>
      <w:r w:rsidRPr="00581AE1">
        <w:t>Academic senate and union representatives need to work together and have some power to make recommendations for real change.</w:t>
      </w:r>
    </w:p>
    <w:p w14:paraId="07AD5B4C" w14:textId="77777777" w:rsidR="00581AE1" w:rsidRDefault="00581AE1" w:rsidP="00581AE1">
      <w:pPr>
        <w:pStyle w:val="ListParagraph"/>
        <w:numPr>
          <w:ilvl w:val="1"/>
          <w:numId w:val="20"/>
        </w:numPr>
      </w:pPr>
      <w:r w:rsidRPr="00581AE1">
        <w:t xml:space="preserve">ASCCC, HR, and local union to create a process where conversations about cultural competencies can happen outside the evaluation process. </w:t>
      </w:r>
    </w:p>
    <w:p w14:paraId="1FC4E49B" w14:textId="77777777" w:rsidR="00581AE1" w:rsidRDefault="00581AE1" w:rsidP="00581AE1">
      <w:pPr>
        <w:pStyle w:val="ListParagraph"/>
        <w:numPr>
          <w:ilvl w:val="1"/>
          <w:numId w:val="20"/>
        </w:numPr>
      </w:pPr>
      <w:r w:rsidRPr="00581AE1">
        <w:t>Mentor program: although there were concerns that it could be a burden on the few faculty that understand how to create a culturally competent learning environment.</w:t>
      </w:r>
    </w:p>
    <w:p w14:paraId="62CDC297" w14:textId="77777777" w:rsidR="00581AE1" w:rsidRDefault="00581AE1" w:rsidP="00581AE1">
      <w:pPr>
        <w:pStyle w:val="ListParagraph"/>
        <w:numPr>
          <w:ilvl w:val="1"/>
          <w:numId w:val="20"/>
        </w:numPr>
      </w:pPr>
      <w:r w:rsidRPr="00581AE1">
        <w:t>Toolkit for creating equity-minded syllabus with a repository of examples</w:t>
      </w:r>
    </w:p>
    <w:p w14:paraId="56AA71CE" w14:textId="3EC9E7C8" w:rsidR="00581AE1" w:rsidRPr="00581AE1" w:rsidRDefault="00581AE1" w:rsidP="00581AE1">
      <w:pPr>
        <w:pStyle w:val="ListParagraph"/>
        <w:numPr>
          <w:ilvl w:val="1"/>
          <w:numId w:val="20"/>
        </w:numPr>
      </w:pPr>
      <w:r w:rsidRPr="00581AE1">
        <w:rPr>
          <w:rFonts w:eastAsia="Batang"/>
          <w:bCs/>
        </w:rPr>
        <w:t>Discipline specific webinars for creating a culturally competent environment</w:t>
      </w:r>
    </w:p>
    <w:p w14:paraId="75BA3927" w14:textId="48733349" w:rsidR="00581AE1" w:rsidRDefault="00581AE1" w:rsidP="00C76CC6"/>
    <w:p w14:paraId="06836179" w14:textId="270182D9" w:rsidR="00C76CC6" w:rsidRDefault="00C76CC6" w:rsidP="00C76CC6">
      <w:pPr>
        <w:pStyle w:val="ListParagraph"/>
        <w:numPr>
          <w:ilvl w:val="0"/>
          <w:numId w:val="21"/>
        </w:numPr>
      </w:pPr>
      <w:r>
        <w:t>The committee discussed the recommendations that could be prioritized in order to begin to address?</w:t>
      </w:r>
      <w:r w:rsidR="00DB1E0A">
        <w:t xml:space="preserve"> Prioritized work is in bold font.</w:t>
      </w:r>
    </w:p>
    <w:p w14:paraId="06AD5C45" w14:textId="6478DE45" w:rsidR="00C76CC6" w:rsidRDefault="00C76CC6" w:rsidP="00C76CC6">
      <w:pPr>
        <w:pStyle w:val="ListParagraph"/>
        <w:numPr>
          <w:ilvl w:val="1"/>
          <w:numId w:val="21"/>
        </w:numPr>
      </w:pPr>
      <w:r>
        <w:t>The Toolkit</w:t>
      </w:r>
    </w:p>
    <w:p w14:paraId="295C4B1B" w14:textId="267E330D" w:rsidR="00C76CC6" w:rsidRPr="00DB1E0A" w:rsidRDefault="00C76CC6" w:rsidP="00C76CC6">
      <w:pPr>
        <w:pStyle w:val="ListParagraph"/>
        <w:numPr>
          <w:ilvl w:val="1"/>
          <w:numId w:val="21"/>
        </w:numPr>
        <w:rPr>
          <w:b/>
        </w:rPr>
      </w:pPr>
      <w:r w:rsidRPr="00DB1E0A">
        <w:rPr>
          <w:b/>
        </w:rPr>
        <w:t>Webinars – discipline specific near spring FLEX days for faculty professional development</w:t>
      </w:r>
    </w:p>
    <w:p w14:paraId="1724C2D5" w14:textId="0BE7747A" w:rsidR="00C76CC6" w:rsidRDefault="00DB1E0A" w:rsidP="00C76CC6">
      <w:pPr>
        <w:pStyle w:val="ListParagraph"/>
        <w:numPr>
          <w:ilvl w:val="1"/>
          <w:numId w:val="21"/>
        </w:numPr>
      </w:pPr>
      <w:r>
        <w:t>EDAC will work with GPTF</w:t>
      </w:r>
    </w:p>
    <w:p w14:paraId="496C2531" w14:textId="0ABF25F2" w:rsidR="00DB1E0A" w:rsidRDefault="00DB1E0A" w:rsidP="00C76CC6">
      <w:pPr>
        <w:pStyle w:val="ListParagraph"/>
        <w:numPr>
          <w:ilvl w:val="1"/>
          <w:numId w:val="21"/>
        </w:numPr>
      </w:pPr>
      <w:r>
        <w:t>Some homework will be assigned during the November meeting to bring ideas for the webinars and planning at the December meeting.</w:t>
      </w:r>
    </w:p>
    <w:p w14:paraId="621F7786" w14:textId="6848F0F5" w:rsidR="00DB1E0A" w:rsidRPr="00DB1E0A" w:rsidRDefault="00DB1E0A" w:rsidP="00C76CC6">
      <w:pPr>
        <w:pStyle w:val="ListParagraph"/>
        <w:numPr>
          <w:ilvl w:val="1"/>
          <w:numId w:val="21"/>
        </w:numPr>
        <w:rPr>
          <w:b/>
        </w:rPr>
      </w:pPr>
      <w:r w:rsidRPr="00DB1E0A">
        <w:rPr>
          <w:b/>
        </w:rPr>
        <w:t>Mentor program – provide a recommendation to the FELA; Could come out of the panel Q&amp;A from the webinars from those that interested in following up, and especially discipline specific; Peggy volunteered to research some mentor models and bring some resources to the December meeting</w:t>
      </w:r>
    </w:p>
    <w:p w14:paraId="74349E95" w14:textId="77777777" w:rsidR="00C76CC6" w:rsidRDefault="00C76CC6" w:rsidP="00C76CC6"/>
    <w:p w14:paraId="2CF18CAD" w14:textId="0AAEFA05" w:rsidR="00DD2261" w:rsidRPr="00DD2261" w:rsidRDefault="00DD2261" w:rsidP="00DD2261">
      <w:pPr>
        <w:pStyle w:val="ListParagraph"/>
        <w:numPr>
          <w:ilvl w:val="0"/>
          <w:numId w:val="10"/>
        </w:numPr>
      </w:pPr>
      <w:r w:rsidRPr="00DD2261">
        <w:t>Fall Plenary</w:t>
      </w:r>
    </w:p>
    <w:p w14:paraId="5C902938" w14:textId="6FFA16A1" w:rsidR="00DD2261" w:rsidRPr="00DD2261" w:rsidRDefault="00581AE1" w:rsidP="00581AE1">
      <w:pPr>
        <w:ind w:left="1080"/>
      </w:pPr>
      <w:r>
        <w:t>Sessions assigned to the committee chair were shared</w:t>
      </w:r>
      <w:r w:rsidR="00B40508">
        <w:t>, and committee members were invited to join</w:t>
      </w:r>
      <w:r w:rsidR="00127A4E">
        <w:t xml:space="preserve"> one of the sessions.</w:t>
      </w:r>
    </w:p>
    <w:p w14:paraId="218A2941" w14:textId="77777777" w:rsidR="00DD2261" w:rsidRPr="00DD2261" w:rsidRDefault="00DD2261" w:rsidP="00DD2261"/>
    <w:p w14:paraId="4C5D6945" w14:textId="3454E1BB" w:rsidR="00DD2261" w:rsidRDefault="00DD2261" w:rsidP="00DD2261">
      <w:pPr>
        <w:pStyle w:val="ListParagraph"/>
        <w:numPr>
          <w:ilvl w:val="0"/>
          <w:numId w:val="10"/>
        </w:numPr>
      </w:pPr>
      <w:r w:rsidRPr="00DD2261">
        <w:t>Regional Meetings –</w:t>
      </w:r>
      <w:r w:rsidR="00D646F9">
        <w:t xml:space="preserve"> </w:t>
      </w:r>
      <w:r w:rsidR="00581AE1">
        <w:t>Updates regarding partnerships with ASCCC Guided Pathways Task Force</w:t>
      </w:r>
      <w:r w:rsidR="00127A4E">
        <w:t xml:space="preserve">. </w:t>
      </w:r>
      <w:proofErr w:type="spellStart"/>
      <w:r w:rsidR="00127A4E">
        <w:t>Ginni</w:t>
      </w:r>
      <w:proofErr w:type="spellEnd"/>
      <w:r w:rsidR="00127A4E">
        <w:t xml:space="preserve"> briefly shared some of the proposed plans of the GPTF for integrating GP work into the ASCCC Standing Committees</w:t>
      </w:r>
      <w:r w:rsidR="00F23AD1">
        <w:t>. More information will be provided during the November meeting.</w:t>
      </w:r>
    </w:p>
    <w:p w14:paraId="55899568" w14:textId="77777777" w:rsidR="00581AE1" w:rsidRPr="00DD2261" w:rsidRDefault="00581AE1" w:rsidP="00581AE1">
      <w:pPr>
        <w:pStyle w:val="ListParagraph"/>
        <w:ind w:left="1080"/>
      </w:pPr>
    </w:p>
    <w:p w14:paraId="369C60EC" w14:textId="1B94D0B7" w:rsidR="00DD2261" w:rsidRDefault="00DD2261" w:rsidP="00DD2261">
      <w:pPr>
        <w:pStyle w:val="ListParagraph"/>
        <w:numPr>
          <w:ilvl w:val="0"/>
          <w:numId w:val="10"/>
        </w:numPr>
      </w:pPr>
      <w:r w:rsidRPr="00DD2261">
        <w:t>Rostrum Article(s)</w:t>
      </w:r>
      <w:r w:rsidR="00D646F9">
        <w:t xml:space="preserve"> </w:t>
      </w:r>
      <w:r w:rsidR="00F23AD1">
        <w:t>– articles for consideration are due in January. Bring ideas to the November meeting. One idea shared was “Getting to the why”.</w:t>
      </w:r>
    </w:p>
    <w:p w14:paraId="12EBC198" w14:textId="77777777" w:rsidR="00581AE1" w:rsidRPr="00DD2261" w:rsidRDefault="00581AE1" w:rsidP="00581AE1"/>
    <w:p w14:paraId="7DEC2E4F" w14:textId="77777777" w:rsidR="00581AE1" w:rsidRDefault="00DD2261" w:rsidP="00DD2261">
      <w:pPr>
        <w:pStyle w:val="ListParagraph"/>
        <w:numPr>
          <w:ilvl w:val="0"/>
          <w:numId w:val="10"/>
        </w:numPr>
      </w:pPr>
      <w:r w:rsidRPr="00DD2261">
        <w:t>Resolutions</w:t>
      </w:r>
    </w:p>
    <w:p w14:paraId="68B983C2" w14:textId="77777777" w:rsidR="00581AE1" w:rsidRDefault="00581AE1" w:rsidP="00581AE1">
      <w:pPr>
        <w:pStyle w:val="ListParagraph"/>
      </w:pPr>
    </w:p>
    <w:p w14:paraId="10F32ADF" w14:textId="5BC05CE4" w:rsidR="00581AE1" w:rsidRPr="00581AE1" w:rsidRDefault="0081512F" w:rsidP="00581AE1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Style w:val="Hyperlink"/>
          <w:rFonts w:eastAsia="Batang"/>
          <w:bCs/>
          <w:color w:val="auto"/>
        </w:rPr>
      </w:pPr>
      <w:hyperlink r:id="rId6" w:history="1">
        <w:r w:rsidR="00581AE1" w:rsidRPr="00581AE1">
          <w:rPr>
            <w:rStyle w:val="Hyperlink"/>
            <w:rFonts w:eastAsia="Batang"/>
            <w:bCs/>
          </w:rPr>
          <w:t>https://www.asccc.org/resolutions-fall-2020</w:t>
        </w:r>
      </w:hyperlink>
    </w:p>
    <w:p w14:paraId="7DB87349" w14:textId="5E56C11D" w:rsidR="00581AE1" w:rsidRPr="00581AE1" w:rsidRDefault="00581AE1" w:rsidP="00581AE1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eastAsia="Batang"/>
          <w:bCs/>
        </w:rPr>
      </w:pPr>
      <w:r>
        <w:rPr>
          <w:rFonts w:eastAsia="Batang"/>
          <w:bCs/>
        </w:rPr>
        <w:t>The committee chair shared two proposed resolutions regarding an ethnic studies requirement.</w:t>
      </w:r>
    </w:p>
    <w:p w14:paraId="1520C338" w14:textId="77777777" w:rsidR="000852CC" w:rsidRDefault="000852CC" w:rsidP="000852CC">
      <w:pPr>
        <w:pStyle w:val="ListParagraph"/>
      </w:pPr>
    </w:p>
    <w:p w14:paraId="32FC539F" w14:textId="4F5DBF9A" w:rsidR="000852CC" w:rsidRDefault="000852CC" w:rsidP="00F43986">
      <w:pPr>
        <w:pStyle w:val="ListParagraph"/>
        <w:numPr>
          <w:ilvl w:val="0"/>
          <w:numId w:val="3"/>
        </w:numPr>
      </w:pPr>
      <w:r>
        <w:t>Action Item:  Tier 1</w:t>
      </w:r>
      <w:r w:rsidR="00A4381B">
        <w:t xml:space="preserve"> Recommendations</w:t>
      </w:r>
    </w:p>
    <w:p w14:paraId="081F255C" w14:textId="77777777" w:rsidR="00A4381B" w:rsidRDefault="00A4381B" w:rsidP="00A4381B"/>
    <w:p w14:paraId="47DD4C61" w14:textId="77777777" w:rsidR="00DB2CD4" w:rsidRDefault="00A4381B" w:rsidP="00DB2CD4">
      <w:pPr>
        <w:pStyle w:val="ListParagraph"/>
        <w:numPr>
          <w:ilvl w:val="1"/>
          <w:numId w:val="10"/>
        </w:numPr>
      </w:pPr>
      <w:r w:rsidRPr="00A4381B">
        <w:t>ASCCC, HR, and local union to review existing evaluation</w:t>
      </w:r>
      <w:r w:rsidR="00630E11">
        <w:t xml:space="preserve"> </w:t>
      </w:r>
      <w:r w:rsidRPr="00A4381B">
        <w:t xml:space="preserve">procedures.  </w:t>
      </w:r>
    </w:p>
    <w:p w14:paraId="2DDF2969" w14:textId="4F35391F" w:rsidR="00A4381B" w:rsidRDefault="00A4381B" w:rsidP="00DB2CD4">
      <w:pPr>
        <w:pStyle w:val="ListParagraph"/>
        <w:numPr>
          <w:ilvl w:val="1"/>
          <w:numId w:val="10"/>
        </w:numPr>
      </w:pPr>
      <w:r w:rsidRPr="00A4381B">
        <w:lastRenderedPageBreak/>
        <w:t xml:space="preserve">ASCCC, HR, and local union to create a process where conversations about cultural competencies can happen outside the evaluation process. </w:t>
      </w:r>
    </w:p>
    <w:p w14:paraId="19170866" w14:textId="77777777" w:rsidR="000852CC" w:rsidRDefault="000852CC" w:rsidP="000852CC">
      <w:pPr>
        <w:pStyle w:val="ListParagraph"/>
      </w:pPr>
    </w:p>
    <w:p w14:paraId="3FBB8CD8" w14:textId="12158780" w:rsidR="000852CC" w:rsidRDefault="000852CC" w:rsidP="00F43986">
      <w:pPr>
        <w:pStyle w:val="ListParagraph"/>
        <w:numPr>
          <w:ilvl w:val="0"/>
          <w:numId w:val="3"/>
        </w:numPr>
      </w:pPr>
      <w:r>
        <w:t>Resources</w:t>
      </w:r>
      <w:r w:rsidR="00DB2CD4">
        <w:t>:</w:t>
      </w:r>
    </w:p>
    <w:p w14:paraId="7D2C2E5A" w14:textId="77777777" w:rsidR="00DB2CD4" w:rsidRPr="00DB2CD4" w:rsidRDefault="00DB2CD4" w:rsidP="00DB2CD4">
      <w:pPr>
        <w:pStyle w:val="ListParagraph"/>
        <w:pBdr>
          <w:bottom w:val="single" w:sz="4" w:space="8" w:color="auto"/>
        </w:pBdr>
        <w:shd w:val="clear" w:color="auto" w:fill="FFFFFF" w:themeFill="background1"/>
        <w:rPr>
          <w:rFonts w:eastAsia="Batang"/>
        </w:rPr>
      </w:pPr>
      <w:r w:rsidRPr="00DB2CD4">
        <w:rPr>
          <w:rFonts w:eastAsia="Batang"/>
        </w:rPr>
        <w:t>Resource 1—</w:t>
      </w:r>
      <w:hyperlink r:id="rId7" w:anchor="gid=2053551526" w:tgtFrame="_blank" w:tooltip="Open this iframe content in a separate tab" w:history="1">
        <w:r w:rsidRPr="00DB2CD4">
          <w:rPr>
            <w:rStyle w:val="Hyperlink"/>
            <w:rFonts w:eastAsia="Batang"/>
          </w:rPr>
          <w:t>Equity and Diversity Action Committee Resolutions Report Dec 2019 Revisions</w:t>
        </w:r>
      </w:hyperlink>
    </w:p>
    <w:p w14:paraId="22FB3D8B" w14:textId="77777777" w:rsidR="00DB2CD4" w:rsidRPr="00DB2CD4" w:rsidRDefault="00DB2CD4" w:rsidP="00DB2CD4">
      <w:pPr>
        <w:pStyle w:val="ListParagraph"/>
        <w:pBdr>
          <w:bottom w:val="single" w:sz="4" w:space="8" w:color="auto"/>
        </w:pBdr>
        <w:shd w:val="clear" w:color="auto" w:fill="FFFFFF" w:themeFill="background1"/>
        <w:rPr>
          <w:rFonts w:eastAsia="Batang"/>
        </w:rPr>
      </w:pPr>
      <w:r w:rsidRPr="00DB2CD4">
        <w:rPr>
          <w:rFonts w:eastAsia="Batang"/>
        </w:rPr>
        <w:t xml:space="preserve">Resource 2— </w:t>
      </w:r>
      <w:hyperlink r:id="rId8" w:history="1">
        <w:r w:rsidRPr="00DB2CD4">
          <w:rPr>
            <w:rStyle w:val="Hyperlink"/>
            <w:rFonts w:eastAsia="Batang"/>
          </w:rPr>
          <w:t>THE ACADEMIC SENATE FOR CALIFORNIA COMMUNITY COLLEGE ADOPTED FALL 2019 EQUITY-DRIVEN SYSTEMS Student Equity and Achievement in the California Community Colleges</w:t>
        </w:r>
      </w:hyperlink>
    </w:p>
    <w:p w14:paraId="1B74B7DE" w14:textId="77777777" w:rsidR="00DB2CD4" w:rsidRPr="00DB2CD4" w:rsidRDefault="00DB2CD4" w:rsidP="00DB2CD4">
      <w:pPr>
        <w:pStyle w:val="ListParagraph"/>
        <w:pBdr>
          <w:bottom w:val="single" w:sz="4" w:space="8" w:color="auto"/>
        </w:pBdr>
        <w:shd w:val="clear" w:color="auto" w:fill="FFFFFF" w:themeFill="background1"/>
        <w:rPr>
          <w:rFonts w:eastAsia="Batang"/>
        </w:rPr>
      </w:pPr>
      <w:r w:rsidRPr="00DB2CD4">
        <w:rPr>
          <w:rFonts w:eastAsia="Batang"/>
        </w:rPr>
        <w:t xml:space="preserve">Resource 3— </w:t>
      </w:r>
      <w:hyperlink r:id="rId9" w:history="1">
        <w:r w:rsidRPr="00DB2CD4">
          <w:rPr>
            <w:rStyle w:val="Hyperlink"/>
            <w:rFonts w:eastAsia="Batang"/>
          </w:rPr>
          <w:t>Summer 2020 ASCCC Rostrum</w:t>
        </w:r>
      </w:hyperlink>
    </w:p>
    <w:p w14:paraId="67BE863B" w14:textId="77777777" w:rsidR="00DB2CD4" w:rsidRPr="00DB2CD4" w:rsidRDefault="00DB2CD4" w:rsidP="00DB2CD4">
      <w:pPr>
        <w:pStyle w:val="ListParagraph"/>
        <w:pBdr>
          <w:bottom w:val="single" w:sz="4" w:space="8" w:color="auto"/>
        </w:pBdr>
        <w:shd w:val="clear" w:color="auto" w:fill="FFFFFF" w:themeFill="background1"/>
        <w:rPr>
          <w:rFonts w:eastAsia="Batang"/>
        </w:rPr>
      </w:pPr>
      <w:r w:rsidRPr="00DB2CD4">
        <w:rPr>
          <w:rFonts w:eastAsia="Batang"/>
        </w:rPr>
        <w:t>Resource 4—</w:t>
      </w:r>
      <w:r w:rsidRPr="00DB2CD4">
        <w:rPr>
          <w:rFonts w:eastAsia="Batang"/>
          <w:noProof/>
        </w:rPr>
        <w:drawing>
          <wp:inline distT="0" distB="0" distL="0" distR="0" wp14:anchorId="533A5EEE" wp14:editId="0158B2EC">
            <wp:extent cx="153035" cy="153035"/>
            <wp:effectExtent l="0" t="0" r="0" b="0"/>
            <wp:docPr id="2" name="Picture 2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DB2CD4">
          <w:rPr>
            <w:rStyle w:val="Hyperlink"/>
            <w:rFonts w:eastAsia="Batang"/>
          </w:rPr>
          <w:t>II. E. (1) EDAC Charge, ASCCC Inclusivity Statement Revise.pdf</w:t>
        </w:r>
      </w:hyperlink>
    </w:p>
    <w:p w14:paraId="26652A53" w14:textId="77777777" w:rsidR="00DB2CD4" w:rsidRPr="00DB2CD4" w:rsidRDefault="00DB2CD4" w:rsidP="00DB2CD4">
      <w:pPr>
        <w:pStyle w:val="ListParagraph"/>
        <w:pBdr>
          <w:bottom w:val="single" w:sz="4" w:space="8" w:color="auto"/>
        </w:pBdr>
        <w:shd w:val="clear" w:color="auto" w:fill="FFFFFF" w:themeFill="background1"/>
        <w:rPr>
          <w:rStyle w:val="Hyperlink"/>
          <w:rFonts w:eastAsia="Batang"/>
        </w:rPr>
      </w:pPr>
      <w:r w:rsidRPr="00DB2CD4">
        <w:rPr>
          <w:rFonts w:eastAsia="Batang"/>
        </w:rPr>
        <w:t>Resource 5—</w:t>
      </w:r>
      <w:r w:rsidRPr="00DB2CD4">
        <w:rPr>
          <w:rFonts w:eastAsia="Batang"/>
          <w:noProof/>
        </w:rPr>
        <w:drawing>
          <wp:inline distT="0" distB="0" distL="0" distR="0" wp14:anchorId="42D4AEC6" wp14:editId="7441ADC1">
            <wp:extent cx="153035" cy="153035"/>
            <wp:effectExtent l="0" t="0" r="0" b="0"/>
            <wp:docPr id="4" name="Picture 4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DB2CD4">
          <w:rPr>
            <w:rStyle w:val="Hyperlink"/>
            <w:rFonts w:eastAsia="Batang"/>
          </w:rPr>
          <w:t>II. E. (2) EDAC ACTION PLAN draft.pdf</w:t>
        </w:r>
      </w:hyperlink>
    </w:p>
    <w:p w14:paraId="425F0B1E" w14:textId="4503306A" w:rsidR="00DB2CD4" w:rsidRPr="00DB2CD4" w:rsidRDefault="00DB2CD4" w:rsidP="00DB2CD4">
      <w:pPr>
        <w:pStyle w:val="ListParagraph"/>
        <w:pBdr>
          <w:bottom w:val="single" w:sz="4" w:space="8" w:color="auto"/>
        </w:pBdr>
        <w:shd w:val="clear" w:color="auto" w:fill="FFFFFF" w:themeFill="background1"/>
        <w:rPr>
          <w:rFonts w:eastAsia="Batang"/>
        </w:rPr>
      </w:pPr>
      <w:r w:rsidRPr="00DB2CD4">
        <w:rPr>
          <w:rFonts w:eastAsia="Batang"/>
        </w:rPr>
        <w:t>Resource 6—</w:t>
      </w:r>
      <w:r w:rsidRPr="00DB2CD4">
        <w:t xml:space="preserve"> </w:t>
      </w:r>
      <w:hyperlink r:id="rId13" w:history="1">
        <w:r w:rsidRPr="00DB2CD4">
          <w:rPr>
            <w:rStyle w:val="Hyperlink"/>
            <w:rFonts w:eastAsia="Batang"/>
          </w:rPr>
          <w:t>https://www.asccc.org/directory/equity-and-diversity-action-committee</w:t>
        </w:r>
      </w:hyperlink>
    </w:p>
    <w:p w14:paraId="021510A5" w14:textId="77777777" w:rsidR="00DB2CD4" w:rsidRDefault="00DB2CD4" w:rsidP="00DB2CD4">
      <w:pPr>
        <w:pStyle w:val="ListParagraph"/>
      </w:pPr>
    </w:p>
    <w:p w14:paraId="2502ED74" w14:textId="77777777" w:rsidR="000852CC" w:rsidRDefault="000852CC" w:rsidP="000852CC">
      <w:pPr>
        <w:pStyle w:val="ListParagraph"/>
      </w:pPr>
    </w:p>
    <w:p w14:paraId="72D65EE2" w14:textId="3C30459F" w:rsidR="000852CC" w:rsidRDefault="000852CC" w:rsidP="00F43986">
      <w:pPr>
        <w:pStyle w:val="ListParagraph"/>
        <w:numPr>
          <w:ilvl w:val="0"/>
          <w:numId w:val="3"/>
        </w:numPr>
      </w:pPr>
      <w:r>
        <w:t>Fall 2020 Committee Meeting Dates</w:t>
      </w:r>
      <w:r w:rsidR="00555A9D">
        <w:t xml:space="preserve"> were agreed on by all committee members.</w:t>
      </w:r>
    </w:p>
    <w:p w14:paraId="65007BD0" w14:textId="77777777" w:rsidR="00F53791" w:rsidRPr="00F53791" w:rsidRDefault="00F53791" w:rsidP="00F53791">
      <w:pPr>
        <w:pStyle w:val="ListParagraph"/>
        <w:numPr>
          <w:ilvl w:val="0"/>
          <w:numId w:val="16"/>
        </w:numPr>
      </w:pPr>
      <w:r w:rsidRPr="00F53791">
        <w:t>Wednesday, November 18, 2020 11:30-12:30</w:t>
      </w:r>
    </w:p>
    <w:p w14:paraId="5E9AB526" w14:textId="06392E7C" w:rsidR="00F53791" w:rsidRPr="00F53791" w:rsidRDefault="00F53791" w:rsidP="00F53791">
      <w:pPr>
        <w:pStyle w:val="ListParagraph"/>
        <w:numPr>
          <w:ilvl w:val="0"/>
          <w:numId w:val="16"/>
        </w:numPr>
      </w:pPr>
      <w:r w:rsidRPr="00F53791">
        <w:t>Wednesday, December 2, 2020 11:</w:t>
      </w:r>
      <w:r w:rsidR="00880FD4">
        <w:t>00</w:t>
      </w:r>
      <w:r w:rsidRPr="00F53791">
        <w:t>-2:</w:t>
      </w:r>
      <w:r w:rsidR="00880FD4">
        <w:t xml:space="preserve">00 – </w:t>
      </w:r>
      <w:r w:rsidR="00880FD4" w:rsidRPr="00926C25">
        <w:rPr>
          <w:b/>
        </w:rPr>
        <w:t>this meeting time was extended</w:t>
      </w:r>
      <w:r w:rsidR="00880FD4">
        <w:t>.</w:t>
      </w:r>
    </w:p>
    <w:p w14:paraId="2587A539" w14:textId="77777777" w:rsidR="000852CC" w:rsidRDefault="000852CC" w:rsidP="000852CC">
      <w:pPr>
        <w:pStyle w:val="ListParagraph"/>
      </w:pPr>
    </w:p>
    <w:p w14:paraId="290D6BD2" w14:textId="6D8870A2" w:rsidR="00DB2CD4" w:rsidRDefault="000852CC" w:rsidP="00DB2CD4">
      <w:pPr>
        <w:pStyle w:val="ListParagraph"/>
        <w:numPr>
          <w:ilvl w:val="0"/>
          <w:numId w:val="3"/>
        </w:numPr>
      </w:pPr>
      <w:r>
        <w:t>Forms</w:t>
      </w:r>
      <w:r w:rsidR="003C1FF3">
        <w:t xml:space="preserve"> (when travel resumes)</w:t>
      </w:r>
      <w:r w:rsidR="00DB2CD4">
        <w:t>:</w:t>
      </w:r>
    </w:p>
    <w:p w14:paraId="3D7E46E5" w14:textId="66857604" w:rsidR="00DB2CD4" w:rsidRPr="00DB2CD4" w:rsidRDefault="0081512F" w:rsidP="00DB2CD4">
      <w:pPr>
        <w:pStyle w:val="ListParagraph"/>
        <w:rPr>
          <w:rFonts w:eastAsia="Batang"/>
        </w:rPr>
      </w:pPr>
      <w:hyperlink r:id="rId14" w:history="1">
        <w:r w:rsidR="00DB2CD4" w:rsidRPr="00DB2CD4">
          <w:rPr>
            <w:rStyle w:val="Hyperlink"/>
            <w:rFonts w:eastAsia="Batang"/>
          </w:rPr>
          <w:t>ASCCC Flight and Travel Request Link</w:t>
        </w:r>
      </w:hyperlink>
    </w:p>
    <w:p w14:paraId="2989C642" w14:textId="335BD7A0" w:rsidR="000852CC" w:rsidRPr="00DB2CD4" w:rsidRDefault="0081512F" w:rsidP="00DB2CD4">
      <w:pPr>
        <w:pStyle w:val="ListParagraph"/>
        <w:rPr>
          <w:rFonts w:eastAsia="Batang"/>
          <w:color w:val="0000FF"/>
        </w:rPr>
      </w:pPr>
      <w:hyperlink r:id="rId15" w:history="1">
        <w:r w:rsidR="00DB2CD4" w:rsidRPr="00DB2CD4">
          <w:rPr>
            <w:rStyle w:val="Hyperlink"/>
            <w:rFonts w:eastAsia="Batang"/>
          </w:rPr>
          <w:t>ASCCC 2020 Expense Reimbursement Form</w:t>
        </w:r>
      </w:hyperlink>
    </w:p>
    <w:p w14:paraId="19E4BD7B" w14:textId="77777777" w:rsidR="000852CC" w:rsidRDefault="000852CC" w:rsidP="000852CC">
      <w:pPr>
        <w:pStyle w:val="ListParagraph"/>
      </w:pPr>
    </w:p>
    <w:p w14:paraId="08F77F8B" w14:textId="189D0152" w:rsidR="000852CC" w:rsidRDefault="000852CC" w:rsidP="00F43986">
      <w:pPr>
        <w:pStyle w:val="ListParagraph"/>
        <w:numPr>
          <w:ilvl w:val="0"/>
          <w:numId w:val="3"/>
        </w:numPr>
      </w:pPr>
      <w:r>
        <w:t>Upcoming Events</w:t>
      </w:r>
      <w:r w:rsidR="00555A9D">
        <w:t xml:space="preserve"> – ASCCC and system-wide events were shared.</w:t>
      </w:r>
    </w:p>
    <w:p w14:paraId="30DE8181" w14:textId="77777777" w:rsidR="000852CC" w:rsidRDefault="000852CC" w:rsidP="000852CC">
      <w:pPr>
        <w:pStyle w:val="ListParagraph"/>
      </w:pPr>
    </w:p>
    <w:p w14:paraId="162F550D" w14:textId="117EE68D" w:rsidR="000852CC" w:rsidRDefault="000852CC" w:rsidP="00F43986">
      <w:pPr>
        <w:pStyle w:val="ListParagraph"/>
        <w:numPr>
          <w:ilvl w:val="0"/>
          <w:numId w:val="3"/>
        </w:numPr>
      </w:pPr>
      <w:r>
        <w:t>Announcements</w:t>
      </w:r>
      <w:r w:rsidR="00555A9D">
        <w:t xml:space="preserve"> – </w:t>
      </w:r>
      <w:r w:rsidR="004A62C7">
        <w:t>none</w:t>
      </w:r>
    </w:p>
    <w:p w14:paraId="078D7943" w14:textId="77777777" w:rsidR="000852CC" w:rsidRDefault="000852CC" w:rsidP="000852CC">
      <w:pPr>
        <w:pStyle w:val="ListParagraph"/>
      </w:pPr>
    </w:p>
    <w:p w14:paraId="0F92A340" w14:textId="29DE68F6" w:rsidR="000852CC" w:rsidRPr="001B1A9D" w:rsidRDefault="000852CC" w:rsidP="00F43986">
      <w:pPr>
        <w:pStyle w:val="ListParagraph"/>
        <w:numPr>
          <w:ilvl w:val="0"/>
          <w:numId w:val="3"/>
        </w:numPr>
      </w:pPr>
      <w:r>
        <w:t>Adjourn</w:t>
      </w:r>
      <w:r w:rsidR="00555A9D">
        <w:t>ed</w:t>
      </w:r>
      <w:r>
        <w:t xml:space="preserve"> Meeting</w:t>
      </w:r>
      <w:r w:rsidR="00555A9D">
        <w:t xml:space="preserve"> at </w:t>
      </w:r>
      <w:r w:rsidR="00DD3E68">
        <w:t>12: 28pm</w:t>
      </w:r>
    </w:p>
    <w:p w14:paraId="343D7612" w14:textId="77777777" w:rsidR="004522F4" w:rsidRPr="001B1A9D" w:rsidRDefault="004522F4"/>
    <w:p w14:paraId="73865DF4" w14:textId="77777777" w:rsidR="001B1A9D" w:rsidRPr="001B1A9D" w:rsidRDefault="001B1A9D"/>
    <w:p w14:paraId="6AD15ABC" w14:textId="77777777" w:rsidR="001B1A9D" w:rsidRPr="001B1A9D" w:rsidRDefault="001B1A9D"/>
    <w:sectPr w:rsidR="001B1A9D" w:rsidRPr="001B1A9D" w:rsidSect="00286890">
      <w:pgSz w:w="12240" w:h="15840"/>
      <w:pgMar w:top="136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2BB"/>
    <w:multiLevelType w:val="hybridMultilevel"/>
    <w:tmpl w:val="90441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51C39"/>
    <w:multiLevelType w:val="hybridMultilevel"/>
    <w:tmpl w:val="276EF20C"/>
    <w:lvl w:ilvl="0" w:tplc="37808D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72EE"/>
    <w:multiLevelType w:val="hybridMultilevel"/>
    <w:tmpl w:val="EBA26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E81D40"/>
    <w:multiLevelType w:val="hybridMultilevel"/>
    <w:tmpl w:val="A92A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846"/>
    <w:multiLevelType w:val="hybridMultilevel"/>
    <w:tmpl w:val="08D41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CB33A2"/>
    <w:multiLevelType w:val="hybridMultilevel"/>
    <w:tmpl w:val="79C4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463"/>
    <w:multiLevelType w:val="hybridMultilevel"/>
    <w:tmpl w:val="B8A8B0AA"/>
    <w:lvl w:ilvl="0" w:tplc="FDC4DE54">
      <w:start w:val="1"/>
      <w:numFmt w:val="upperLetter"/>
      <w:lvlText w:val="%1."/>
      <w:lvlJc w:val="left"/>
      <w:pPr>
        <w:ind w:left="99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0035B7D"/>
    <w:multiLevelType w:val="hybridMultilevel"/>
    <w:tmpl w:val="0CFEC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BF5301"/>
    <w:multiLevelType w:val="hybridMultilevel"/>
    <w:tmpl w:val="342CE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D809A4"/>
    <w:multiLevelType w:val="hybridMultilevel"/>
    <w:tmpl w:val="909659AA"/>
    <w:lvl w:ilvl="0" w:tplc="F2A412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328B2"/>
    <w:multiLevelType w:val="hybridMultilevel"/>
    <w:tmpl w:val="0C9C2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10EFF"/>
    <w:multiLevelType w:val="hybridMultilevel"/>
    <w:tmpl w:val="054C8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9A067C"/>
    <w:multiLevelType w:val="hybridMultilevel"/>
    <w:tmpl w:val="927A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401DB"/>
    <w:multiLevelType w:val="hybridMultilevel"/>
    <w:tmpl w:val="B0BE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06C9F"/>
    <w:multiLevelType w:val="hybridMultilevel"/>
    <w:tmpl w:val="9E92E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33F14"/>
    <w:multiLevelType w:val="hybridMultilevel"/>
    <w:tmpl w:val="81D41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2A0DD8"/>
    <w:multiLevelType w:val="hybridMultilevel"/>
    <w:tmpl w:val="87A65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673752"/>
    <w:multiLevelType w:val="hybridMultilevel"/>
    <w:tmpl w:val="4B848288"/>
    <w:lvl w:ilvl="0" w:tplc="A5344C7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B35A42"/>
    <w:multiLevelType w:val="hybridMultilevel"/>
    <w:tmpl w:val="B838D3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3E02C7"/>
    <w:multiLevelType w:val="hybridMultilevel"/>
    <w:tmpl w:val="6470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5"/>
  </w:num>
  <w:num w:numId="5">
    <w:abstractNumId w:val="6"/>
  </w:num>
  <w:num w:numId="6">
    <w:abstractNumId w:val="7"/>
  </w:num>
  <w:num w:numId="7">
    <w:abstractNumId w:val="14"/>
  </w:num>
  <w:num w:numId="8">
    <w:abstractNumId w:val="19"/>
  </w:num>
  <w:num w:numId="9">
    <w:abstractNumId w:val="18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17"/>
  </w:num>
  <w:num w:numId="15">
    <w:abstractNumId w:val="1"/>
  </w:num>
  <w:num w:numId="16">
    <w:abstractNumId w:val="16"/>
  </w:num>
  <w:num w:numId="17">
    <w:abstractNumId w:val="8"/>
  </w:num>
  <w:num w:numId="18">
    <w:abstractNumId w:val="2"/>
  </w:num>
  <w:num w:numId="19">
    <w:abstractNumId w:val="4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0"/>
    <w:rsid w:val="000318CF"/>
    <w:rsid w:val="000852CC"/>
    <w:rsid w:val="00127A4E"/>
    <w:rsid w:val="001777DE"/>
    <w:rsid w:val="001B1A9D"/>
    <w:rsid w:val="00286890"/>
    <w:rsid w:val="002C111F"/>
    <w:rsid w:val="003C1FF3"/>
    <w:rsid w:val="004522F4"/>
    <w:rsid w:val="00480371"/>
    <w:rsid w:val="004A62C7"/>
    <w:rsid w:val="00511D9A"/>
    <w:rsid w:val="00555A9D"/>
    <w:rsid w:val="00581AE1"/>
    <w:rsid w:val="00630E11"/>
    <w:rsid w:val="0068309D"/>
    <w:rsid w:val="00684EEE"/>
    <w:rsid w:val="007C7042"/>
    <w:rsid w:val="0081512F"/>
    <w:rsid w:val="00880FD4"/>
    <w:rsid w:val="008C0151"/>
    <w:rsid w:val="008F2FB4"/>
    <w:rsid w:val="00926C25"/>
    <w:rsid w:val="00A4381B"/>
    <w:rsid w:val="00AD4060"/>
    <w:rsid w:val="00B40508"/>
    <w:rsid w:val="00C139F1"/>
    <w:rsid w:val="00C76CC6"/>
    <w:rsid w:val="00CE2520"/>
    <w:rsid w:val="00D35251"/>
    <w:rsid w:val="00D5041C"/>
    <w:rsid w:val="00D55627"/>
    <w:rsid w:val="00D646F9"/>
    <w:rsid w:val="00DB1E0A"/>
    <w:rsid w:val="00DB2CD4"/>
    <w:rsid w:val="00DD2261"/>
    <w:rsid w:val="00DD3E68"/>
    <w:rsid w:val="00E81623"/>
    <w:rsid w:val="00F07145"/>
    <w:rsid w:val="00F23AD1"/>
    <w:rsid w:val="00F43986"/>
    <w:rsid w:val="00F45B1D"/>
    <w:rsid w:val="00F45EE5"/>
    <w:rsid w:val="00F5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22466"/>
  <w14:defaultImageDpi w14:val="300"/>
  <w15:docId w15:val="{538ECCFF-4AE0-9648-8B66-4C50D600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80371"/>
    <w:pPr>
      <w:ind w:left="720"/>
      <w:contextualSpacing/>
    </w:pPr>
  </w:style>
  <w:style w:type="character" w:styleId="Hyperlink">
    <w:name w:val="Hyperlink"/>
    <w:rsid w:val="00480371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D226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381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B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cc.org/sites/default/files/Equity_Driven_Systems.pdf" TargetMode="External"/><Relationship Id="rId13" Type="http://schemas.openxmlformats.org/officeDocument/2006/relationships/hyperlink" Target="https://www.asccc.org/directory/equity-and-diversity-action-committ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6LxdTXnuPX8WUI8n0yPuQZSCARSDD72TTEk5g4xZLR8/edit" TargetMode="External"/><Relationship Id="rId12" Type="http://schemas.openxmlformats.org/officeDocument/2006/relationships/hyperlink" Target="https://www.asccc.org/sites/default/files/II.%20E.%20%282%29%20EDAC%20ACTION%20PLAN%20draft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sccc.org/resolutions-fall-2020" TargetMode="External"/><Relationship Id="rId11" Type="http://schemas.openxmlformats.org/officeDocument/2006/relationships/hyperlink" Target="https://www.asccc.org/sites/default/files/II.%20E.%20%281%29%20%20EDAC%20Charge%2C%20ASCCC%20Inclusivity%20Statement%20Revise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sccc.org/sites/default/files/2020_ASCCC_Reimbursement_Fillable_mlr_ahh.pdf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indd.adobe.com/view/861210a6-c4e2-4715-b335-7fd34a456cb3" TargetMode="External"/><Relationship Id="rId14" Type="http://schemas.openxmlformats.org/officeDocument/2006/relationships/hyperlink" Target="https://asccc.org/content/flight-and-travel-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LaTonya Parker</cp:lastModifiedBy>
  <cp:revision>2</cp:revision>
  <dcterms:created xsi:type="dcterms:W3CDTF">2020-12-08T20:46:00Z</dcterms:created>
  <dcterms:modified xsi:type="dcterms:W3CDTF">2020-12-08T20:46:00Z</dcterms:modified>
</cp:coreProperties>
</file>