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B73" w:rsidRPr="00AB3B73" w:rsidRDefault="00AB3B73" w:rsidP="003E7B4A">
      <w:pPr>
        <w:spacing w:after="0" w:line="240" w:lineRule="auto"/>
        <w:rPr>
          <w:rFonts w:cstheme="minorHAnsi"/>
          <w:color w:val="333E48"/>
          <w:shd w:val="clear" w:color="auto" w:fill="FFFFFF"/>
        </w:rPr>
      </w:pPr>
      <w:r w:rsidRPr="00AB3B73">
        <w:rPr>
          <w:rFonts w:cstheme="minorHAnsi"/>
          <w:color w:val="333E48"/>
          <w:shd w:val="clear" w:color="auto" w:fill="FFFFFF"/>
        </w:rPr>
        <w:t>The ASCCC Guided Pathways Task Force created a survey to identify specific information and tools to support academic senates through the design and implementation of a guided pathways framework. </w:t>
      </w:r>
    </w:p>
    <w:p w:rsidR="00AB3B73" w:rsidRPr="00F84715" w:rsidRDefault="00E813D8" w:rsidP="00AB3B73">
      <w:pPr>
        <w:spacing w:line="240" w:lineRule="auto"/>
        <w:rPr>
          <w:rFonts w:ascii="Arial" w:hAnsi="Arial" w:cs="Arial"/>
          <w:color w:val="333E48"/>
          <w:sz w:val="23"/>
          <w:szCs w:val="23"/>
        </w:rPr>
      </w:pPr>
      <w:r w:rsidRPr="00AB3B73">
        <w:rPr>
          <w:rStyle w:val="Heading1Char"/>
          <w:rFonts w:asciiTheme="minorHAnsi" w:eastAsiaTheme="minorHAnsi" w:hAnsiTheme="minorHAnsi" w:cstheme="minorHAnsi"/>
          <w:color w:val="000000" w:themeColor="text1"/>
          <w:sz w:val="22"/>
          <w:szCs w:val="22"/>
        </w:rPr>
        <w:t>Executive Summary</w:t>
      </w:r>
      <w:r w:rsidRPr="00AB3B73">
        <w:rPr>
          <w:rStyle w:val="Heading1Char"/>
          <w:rFonts w:asciiTheme="minorHAnsi" w:eastAsiaTheme="minorHAnsi" w:hAnsiTheme="minorHAnsi" w:cstheme="minorHAnsi"/>
          <w:color w:val="000000" w:themeColor="text1"/>
          <w:sz w:val="22"/>
          <w:szCs w:val="22"/>
        </w:rPr>
        <w:br/>
      </w:r>
      <w:r w:rsidR="00AB3B73" w:rsidRPr="00AB3B73">
        <w:rPr>
          <w:rFonts w:cstheme="minorHAnsi"/>
          <w:color w:val="333E48"/>
        </w:rPr>
        <w:t>Rich data were collected from a survey sent to local academic senate presidents Spring 2018 about college engagement with guided pathways (GP). Overall, the data clearly show that colleges are engaged and faculty in most colleges are either leading or collaboratively guiding the work. There is still confusion about the various guided pathways programs, including the actual work of guided pathways such as how it is different from CTE pathways and first year experience. The survey clearly indicated areas of challenge and places that ASCCC can help the colleges in their implementation process. A list of benefits and potential negative outcomes provide great opportunity for training and resources to help colleges move in a positive direction. The need for models from other colleges, requests for clarity on verbiage and specific strategies indicated potential for regional visits, online resources and webinars. Numerous comments about addressing a collaborative and institution-wide vision i</w:t>
      </w:r>
      <w:r w:rsidR="00AB3B73">
        <w:rPr>
          <w:rFonts w:cstheme="minorHAnsi"/>
          <w:color w:val="333E48"/>
        </w:rPr>
        <w:t xml:space="preserve">ndicate the importance of local </w:t>
      </w:r>
      <w:r w:rsidR="00AB3B73" w:rsidRPr="00AB3B73">
        <w:rPr>
          <w:rFonts w:cstheme="minorHAnsi"/>
          <w:color w:val="333E48"/>
        </w:rPr>
        <w:t>communication and decision-making</w:t>
      </w:r>
      <w:r w:rsidR="00AB3B73">
        <w:rPr>
          <w:rFonts w:cstheme="minorHAnsi"/>
          <w:color w:val="333E48"/>
        </w:rPr>
        <w:t>.</w:t>
      </w:r>
      <w:r w:rsidR="00AB3B73" w:rsidRPr="00F84715">
        <w:rPr>
          <w:rFonts w:ascii="Arial" w:hAnsi="Arial" w:cs="Arial"/>
          <w:color w:val="333E48"/>
          <w:sz w:val="23"/>
          <w:szCs w:val="23"/>
        </w:rPr>
        <w:t xml:space="preserve">  </w:t>
      </w:r>
    </w:p>
    <w:p w:rsidR="00AB3B73" w:rsidRPr="00AB3B73" w:rsidRDefault="00AB3B73" w:rsidP="00AB3B73">
      <w:pPr>
        <w:pStyle w:val="ListParagraph"/>
        <w:numPr>
          <w:ilvl w:val="0"/>
          <w:numId w:val="2"/>
        </w:numPr>
        <w:spacing w:before="120" w:line="240" w:lineRule="auto"/>
        <w:rPr>
          <w:rFonts w:cstheme="minorHAnsi"/>
          <w:color w:val="000000" w:themeColor="text1"/>
        </w:rPr>
      </w:pPr>
      <w:r w:rsidRPr="00AB3B73">
        <w:rPr>
          <w:rFonts w:cstheme="minorHAnsi"/>
          <w:noProof/>
          <w:color w:val="333E48"/>
          <w:shd w:val="clear" w:color="auto" w:fill="FFFFFF"/>
        </w:rPr>
        <w:drawing>
          <wp:anchor distT="0" distB="0" distL="114300" distR="114300" simplePos="0" relativeHeight="251660800" behindDoc="0" locked="0" layoutInCell="1" allowOverlap="1" wp14:anchorId="298FC3B1" wp14:editId="0B532589">
            <wp:simplePos x="0" y="0"/>
            <wp:positionH relativeFrom="column">
              <wp:posOffset>2800672</wp:posOffset>
            </wp:positionH>
            <wp:positionV relativeFrom="paragraph">
              <wp:posOffset>2676</wp:posOffset>
            </wp:positionV>
            <wp:extent cx="4015105" cy="259207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44A75.tmp"/>
                    <pic:cNvPicPr/>
                  </pic:nvPicPr>
                  <pic:blipFill>
                    <a:blip r:embed="rId7">
                      <a:extLst>
                        <a:ext uri="{BEBA8EAE-BF5A-486C-A8C5-ECC9F3942E4B}">
                          <a14:imgProps xmlns:a14="http://schemas.microsoft.com/office/drawing/2010/main">
                            <a14:imgLayer r:embed="rId8">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015105" cy="259207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color w:val="000000" w:themeColor="text1"/>
          <w:shd w:val="clear" w:color="auto" w:fill="FFFFFF"/>
        </w:rPr>
        <w:t>There were 87</w:t>
      </w:r>
      <w:r w:rsidR="00E813D8" w:rsidRPr="00A040A6">
        <w:rPr>
          <w:rFonts w:ascii="Calibri" w:hAnsi="Calibri" w:cs="Calibri"/>
          <w:color w:val="000000" w:themeColor="text1"/>
          <w:shd w:val="clear" w:color="auto" w:fill="FFFFFF"/>
        </w:rPr>
        <w:t xml:space="preserve"> responses from </w:t>
      </w:r>
      <w:r>
        <w:rPr>
          <w:rFonts w:ascii="Calibri" w:hAnsi="Calibri" w:cs="Calibri"/>
          <w:color w:val="000000" w:themeColor="text1"/>
          <w:shd w:val="clear" w:color="auto" w:fill="FFFFFF"/>
        </w:rPr>
        <w:t>70</w:t>
      </w:r>
      <w:r w:rsidR="00E813D8" w:rsidRPr="00A040A6">
        <w:rPr>
          <w:rFonts w:ascii="Calibri" w:hAnsi="Calibri" w:cs="Calibri"/>
          <w:color w:val="000000" w:themeColor="text1"/>
          <w:shd w:val="clear" w:color="auto" w:fill="FFFFFF"/>
        </w:rPr>
        <w:t xml:space="preserve"> different colleges (</w:t>
      </w:r>
      <w:r>
        <w:rPr>
          <w:rFonts w:ascii="Calibri" w:hAnsi="Calibri" w:cs="Calibri"/>
          <w:color w:val="000000" w:themeColor="text1"/>
          <w:shd w:val="clear" w:color="auto" w:fill="FFFFFF"/>
        </w:rPr>
        <w:t>61</w:t>
      </w:r>
      <w:r w:rsidR="00E813D8" w:rsidRPr="00A040A6">
        <w:rPr>
          <w:rFonts w:ascii="Calibri" w:hAnsi="Calibri" w:cs="Calibri"/>
          <w:color w:val="000000" w:themeColor="text1"/>
          <w:shd w:val="clear" w:color="auto" w:fill="FFFFFF"/>
        </w:rPr>
        <w:t>% of CCC’s)</w:t>
      </w:r>
      <w:r>
        <w:rPr>
          <w:rFonts w:ascii="Calibri" w:hAnsi="Calibri" w:cs="Calibri"/>
          <w:color w:val="000000" w:themeColor="text1"/>
          <w:shd w:val="clear" w:color="auto" w:fill="FFFFFF"/>
        </w:rPr>
        <w:t xml:space="preserve"> from validated faculty sources and </w:t>
      </w:r>
      <w:r w:rsidRPr="00AB3B73">
        <w:rPr>
          <w:rFonts w:cstheme="minorHAnsi"/>
          <w:color w:val="333E48"/>
          <w:shd w:val="clear" w:color="auto" w:fill="FFFFFF"/>
        </w:rPr>
        <w:t>with a broad representation of small and large, rural and urban, multi-college and single college districts, and all regions.</w:t>
      </w:r>
    </w:p>
    <w:p w:rsidR="00AB3B73" w:rsidRPr="003E7B4A" w:rsidRDefault="00AB3B73" w:rsidP="00AB3B73">
      <w:pPr>
        <w:pStyle w:val="ListParagraph"/>
        <w:spacing w:before="120" w:line="240" w:lineRule="auto"/>
        <w:ind w:left="360"/>
        <w:rPr>
          <w:rFonts w:cstheme="minorHAnsi"/>
          <w:color w:val="000000" w:themeColor="text1"/>
          <w:sz w:val="12"/>
        </w:rPr>
      </w:pPr>
    </w:p>
    <w:p w:rsidR="00AB3B73" w:rsidRPr="00AB3B73" w:rsidRDefault="00AB3B73" w:rsidP="00AB3B73">
      <w:pPr>
        <w:pStyle w:val="ListParagraph"/>
        <w:numPr>
          <w:ilvl w:val="0"/>
          <w:numId w:val="2"/>
        </w:numPr>
        <w:spacing w:before="120" w:line="240" w:lineRule="auto"/>
        <w:rPr>
          <w:rFonts w:cstheme="minorHAnsi"/>
          <w:color w:val="000000" w:themeColor="text1"/>
        </w:rPr>
      </w:pPr>
      <w:r>
        <w:rPr>
          <w:rFonts w:ascii="Calibri" w:hAnsi="Calibri" w:cs="Calibri"/>
          <w:color w:val="000000" w:themeColor="text1"/>
        </w:rPr>
        <w:t>62%</w:t>
      </w:r>
      <w:r w:rsidRPr="00AB3B73">
        <w:rPr>
          <w:rFonts w:ascii="Calibri" w:hAnsi="Calibri" w:cs="Calibri"/>
          <w:color w:val="000000" w:themeColor="text1"/>
        </w:rPr>
        <w:t xml:space="preserve"> </w:t>
      </w:r>
      <w:r>
        <w:rPr>
          <w:rFonts w:ascii="Calibri" w:hAnsi="Calibri" w:cs="Calibri"/>
          <w:color w:val="000000" w:themeColor="text1"/>
        </w:rPr>
        <w:t>of responding colleges have a</w:t>
      </w:r>
      <w:r w:rsidRPr="00AB3B73">
        <w:rPr>
          <w:rFonts w:ascii="Calibri" w:hAnsi="Calibri" w:cs="Calibri"/>
          <w:color w:val="000000" w:themeColor="text1"/>
        </w:rPr>
        <w:t xml:space="preserve"> Guided Pathways Liaison</w:t>
      </w:r>
    </w:p>
    <w:p w:rsidR="00AB3B73" w:rsidRPr="003E7B4A" w:rsidRDefault="00AB3B73" w:rsidP="00AB3B73">
      <w:pPr>
        <w:pStyle w:val="ListParagraph"/>
        <w:rPr>
          <w:rFonts w:cstheme="minorHAnsi"/>
          <w:color w:val="000000" w:themeColor="text1"/>
          <w:sz w:val="14"/>
        </w:rPr>
      </w:pPr>
    </w:p>
    <w:p w:rsidR="00E813D8" w:rsidRPr="00A040A6" w:rsidRDefault="00E813D8" w:rsidP="00A250FA">
      <w:pPr>
        <w:pStyle w:val="ListParagraph"/>
        <w:numPr>
          <w:ilvl w:val="0"/>
          <w:numId w:val="2"/>
        </w:numPr>
        <w:spacing w:before="120" w:line="240" w:lineRule="auto"/>
        <w:rPr>
          <w:rFonts w:ascii="Calibri" w:hAnsi="Calibri" w:cs="Calibri"/>
          <w:color w:val="000000" w:themeColor="text1"/>
        </w:rPr>
      </w:pPr>
      <w:r w:rsidRPr="00A040A6">
        <w:rPr>
          <w:rFonts w:ascii="Calibri" w:hAnsi="Calibri" w:cs="Calibri"/>
          <w:color w:val="000000" w:themeColor="text1"/>
        </w:rPr>
        <w:t>Faculty interest was overwhelming with 98.</w:t>
      </w:r>
      <w:r w:rsidR="00AB3B73">
        <w:rPr>
          <w:rFonts w:ascii="Calibri" w:hAnsi="Calibri" w:cs="Calibri"/>
          <w:color w:val="000000" w:themeColor="text1"/>
        </w:rPr>
        <w:t>6</w:t>
      </w:r>
      <w:r w:rsidRPr="00A040A6">
        <w:rPr>
          <w:rFonts w:ascii="Calibri" w:hAnsi="Calibri" w:cs="Calibri"/>
          <w:color w:val="000000" w:themeColor="text1"/>
        </w:rPr>
        <w:t xml:space="preserve">% responding that there was </w:t>
      </w:r>
      <w:r w:rsidR="00CA11E0">
        <w:rPr>
          <w:rFonts w:ascii="Calibri" w:hAnsi="Calibri" w:cs="Calibri"/>
          <w:color w:val="000000" w:themeColor="text1"/>
        </w:rPr>
        <w:t>“</w:t>
      </w:r>
      <w:r w:rsidRPr="00A040A6">
        <w:rPr>
          <w:rFonts w:ascii="Calibri" w:hAnsi="Calibri" w:cs="Calibri"/>
          <w:color w:val="000000" w:themeColor="text1"/>
        </w:rPr>
        <w:t>significant, quite a bit or some interest</w:t>
      </w:r>
      <w:r w:rsidR="00CA11E0">
        <w:rPr>
          <w:rFonts w:ascii="Calibri" w:hAnsi="Calibri" w:cs="Calibri"/>
          <w:color w:val="000000" w:themeColor="text1"/>
        </w:rPr>
        <w:t>”</w:t>
      </w:r>
      <w:r w:rsidRPr="00A040A6">
        <w:rPr>
          <w:noProof/>
          <w:color w:val="000000" w:themeColor="text1"/>
        </w:rPr>
        <w:t xml:space="preserve"> </w:t>
      </w:r>
    </w:p>
    <w:p w:rsidR="00A250FA" w:rsidRPr="003E7B4A" w:rsidRDefault="00A250FA" w:rsidP="00A250FA">
      <w:pPr>
        <w:pStyle w:val="ListParagraph"/>
        <w:spacing w:before="120" w:line="240" w:lineRule="auto"/>
        <w:ind w:left="360"/>
        <w:rPr>
          <w:rFonts w:ascii="Calibri" w:hAnsi="Calibri" w:cs="Calibri"/>
          <w:color w:val="000000" w:themeColor="text1"/>
          <w:sz w:val="14"/>
        </w:rPr>
      </w:pPr>
    </w:p>
    <w:p w:rsidR="00DD3F99" w:rsidRPr="00A040A6" w:rsidRDefault="00AB3B73" w:rsidP="00A250FA">
      <w:pPr>
        <w:pStyle w:val="ListParagraph"/>
        <w:numPr>
          <w:ilvl w:val="0"/>
          <w:numId w:val="2"/>
        </w:numPr>
        <w:spacing w:before="120" w:line="240" w:lineRule="auto"/>
        <w:rPr>
          <w:rFonts w:ascii="Calibri" w:hAnsi="Calibri" w:cs="Calibri"/>
          <w:color w:val="000000" w:themeColor="text1"/>
        </w:rPr>
      </w:pPr>
      <w:r>
        <w:rPr>
          <w:rFonts w:ascii="Arial" w:hAnsi="Arial" w:cs="Arial"/>
          <w:noProof/>
          <w:color w:val="333E48"/>
          <w:sz w:val="23"/>
          <w:szCs w:val="23"/>
          <w:shd w:val="clear" w:color="auto" w:fill="FFFFFF"/>
        </w:rPr>
        <w:drawing>
          <wp:anchor distT="0" distB="0" distL="114300" distR="114300" simplePos="0" relativeHeight="251663872" behindDoc="0" locked="0" layoutInCell="1" allowOverlap="1" wp14:anchorId="370E7B1A" wp14:editId="419559AE">
            <wp:simplePos x="0" y="0"/>
            <wp:positionH relativeFrom="column">
              <wp:posOffset>2843747</wp:posOffset>
            </wp:positionH>
            <wp:positionV relativeFrom="paragraph">
              <wp:posOffset>171643</wp:posOffset>
            </wp:positionV>
            <wp:extent cx="3699510" cy="22453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4F9A1.tmp"/>
                    <pic:cNvPicPr/>
                  </pic:nvPicPr>
                  <pic:blipFill>
                    <a:blip r:embed="rId9">
                      <a:extLst>
                        <a:ext uri="{BEBA8EAE-BF5A-486C-A8C5-ECC9F3942E4B}">
                          <a14:imgProps xmlns:a14="http://schemas.microsoft.com/office/drawing/2010/main">
                            <a14:imgLayer r:embed="rId10">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699510" cy="2245360"/>
                    </a:xfrm>
                    <a:prstGeom prst="rect">
                      <a:avLst/>
                    </a:prstGeom>
                  </pic:spPr>
                </pic:pic>
              </a:graphicData>
            </a:graphic>
            <wp14:sizeRelH relativeFrom="page">
              <wp14:pctWidth>0</wp14:pctWidth>
            </wp14:sizeRelH>
            <wp14:sizeRelV relativeFrom="page">
              <wp14:pctHeight>0</wp14:pctHeight>
            </wp14:sizeRelV>
          </wp:anchor>
        </w:drawing>
      </w:r>
      <w:r w:rsidR="00EF5EA1">
        <w:rPr>
          <w:rFonts w:ascii="Calibri" w:hAnsi="Calibri" w:cs="Calibri"/>
          <w:color w:val="000000" w:themeColor="text1"/>
        </w:rPr>
        <w:t>68.9</w:t>
      </w:r>
      <w:r w:rsidR="00DD3F99" w:rsidRPr="00A040A6">
        <w:rPr>
          <w:rFonts w:ascii="Calibri" w:hAnsi="Calibri" w:cs="Calibri"/>
          <w:color w:val="000000" w:themeColor="text1"/>
        </w:rPr>
        <w:t xml:space="preserve">% of respondents felt the process was </w:t>
      </w:r>
      <w:r w:rsidR="003E7B4A">
        <w:rPr>
          <w:rFonts w:ascii="Calibri" w:hAnsi="Calibri" w:cs="Calibri"/>
          <w:color w:val="000000" w:themeColor="text1"/>
        </w:rPr>
        <w:t>faculty driven and a</w:t>
      </w:r>
      <w:r w:rsidR="00DD3F99" w:rsidRPr="00A040A6">
        <w:rPr>
          <w:rFonts w:ascii="Calibri" w:hAnsi="Calibri" w:cs="Calibri"/>
          <w:color w:val="000000" w:themeColor="text1"/>
        </w:rPr>
        <w:t>lthough 90% indicated adequate faculty voice</w:t>
      </w:r>
      <w:r w:rsidR="00A250FA" w:rsidRPr="00A040A6">
        <w:rPr>
          <w:rFonts w:ascii="Calibri" w:hAnsi="Calibri" w:cs="Calibri"/>
          <w:color w:val="000000" w:themeColor="text1"/>
        </w:rPr>
        <w:t>,</w:t>
      </w:r>
      <w:r w:rsidR="00DD3F99" w:rsidRPr="00A040A6">
        <w:rPr>
          <w:rFonts w:ascii="Calibri" w:hAnsi="Calibri" w:cs="Calibri"/>
          <w:color w:val="000000" w:themeColor="text1"/>
        </w:rPr>
        <w:t xml:space="preserve"> numerous narrative comments indicate</w:t>
      </w:r>
      <w:r w:rsidR="003E7B4A">
        <w:rPr>
          <w:rFonts w:ascii="Calibri" w:hAnsi="Calibri" w:cs="Calibri"/>
          <w:color w:val="000000" w:themeColor="text1"/>
        </w:rPr>
        <w:t>d administration-related</w:t>
      </w:r>
      <w:r w:rsidR="00DD3F99" w:rsidRPr="00A040A6">
        <w:rPr>
          <w:rFonts w:ascii="Calibri" w:hAnsi="Calibri" w:cs="Calibri"/>
          <w:color w:val="000000" w:themeColor="text1"/>
        </w:rPr>
        <w:t xml:space="preserve"> </w:t>
      </w:r>
      <w:r w:rsidR="00A250FA" w:rsidRPr="00A040A6">
        <w:rPr>
          <w:rFonts w:ascii="Calibri" w:hAnsi="Calibri" w:cs="Calibri"/>
          <w:color w:val="000000" w:themeColor="text1"/>
        </w:rPr>
        <w:t>issues</w:t>
      </w:r>
      <w:r w:rsidR="00DD3F99" w:rsidRPr="00A040A6">
        <w:rPr>
          <w:rFonts w:ascii="Calibri" w:hAnsi="Calibri" w:cs="Calibri"/>
          <w:color w:val="000000" w:themeColor="text1"/>
        </w:rPr>
        <w:t>.</w:t>
      </w:r>
      <w:r w:rsidR="003E7B4A">
        <w:rPr>
          <w:rFonts w:ascii="Calibri" w:hAnsi="Calibri" w:cs="Calibri"/>
          <w:color w:val="000000" w:themeColor="text1"/>
        </w:rPr>
        <w:t xml:space="preserve"> Others indicated rocky starts, but improvement.</w:t>
      </w:r>
    </w:p>
    <w:p w:rsidR="00A250FA" w:rsidRPr="003E7B4A" w:rsidRDefault="00A250FA" w:rsidP="00A250FA">
      <w:pPr>
        <w:pStyle w:val="ListParagraph"/>
        <w:spacing w:before="120" w:line="240" w:lineRule="auto"/>
        <w:ind w:left="360"/>
        <w:rPr>
          <w:rFonts w:ascii="Calibri" w:hAnsi="Calibri" w:cs="Calibri"/>
          <w:color w:val="000000" w:themeColor="text1"/>
          <w:sz w:val="14"/>
        </w:rPr>
      </w:pPr>
    </w:p>
    <w:p w:rsidR="00C852AF" w:rsidRPr="00A040A6" w:rsidRDefault="00E813D8" w:rsidP="00A250FA">
      <w:pPr>
        <w:pStyle w:val="ListParagraph"/>
        <w:numPr>
          <w:ilvl w:val="0"/>
          <w:numId w:val="2"/>
        </w:numPr>
        <w:spacing w:before="120" w:line="240" w:lineRule="auto"/>
        <w:rPr>
          <w:rFonts w:ascii="Calibri" w:hAnsi="Calibri" w:cs="Calibri"/>
          <w:color w:val="000000" w:themeColor="text1"/>
        </w:rPr>
      </w:pPr>
      <w:r w:rsidRPr="00CA11E0">
        <w:rPr>
          <w:b/>
          <w:noProof/>
          <w:color w:val="000000" w:themeColor="text1"/>
        </w:rPr>
        <w:t>Campus-wide interest</w:t>
      </w:r>
      <w:r w:rsidRPr="00A040A6">
        <w:rPr>
          <w:noProof/>
          <w:color w:val="000000" w:themeColor="text1"/>
        </w:rPr>
        <w:t xml:space="preserve"> in implementing a guided pathways framework was also</w:t>
      </w:r>
      <w:r w:rsidR="00CA11E0">
        <w:rPr>
          <w:noProof/>
          <w:color w:val="000000" w:themeColor="text1"/>
        </w:rPr>
        <w:t xml:space="preserve"> reported as</w:t>
      </w:r>
      <w:r w:rsidRPr="00A040A6">
        <w:rPr>
          <w:noProof/>
          <w:color w:val="000000" w:themeColor="text1"/>
        </w:rPr>
        <w:t xml:space="preserve"> high </w:t>
      </w:r>
      <w:r w:rsidR="005111FC" w:rsidRPr="00A040A6">
        <w:rPr>
          <w:noProof/>
          <w:color w:val="000000" w:themeColor="text1"/>
        </w:rPr>
        <w:t>at 97% (72% reporting quite a bit and strong interest)</w:t>
      </w:r>
      <w:r w:rsidR="00A250FA" w:rsidRPr="00A040A6">
        <w:rPr>
          <w:noProof/>
          <w:color w:val="000000" w:themeColor="text1"/>
        </w:rPr>
        <w:t>.</w:t>
      </w:r>
    </w:p>
    <w:p w:rsidR="00A250FA" w:rsidRPr="003E7B4A" w:rsidRDefault="00A250FA" w:rsidP="00A250FA">
      <w:pPr>
        <w:pStyle w:val="ListParagraph"/>
        <w:spacing w:before="120" w:line="240" w:lineRule="auto"/>
        <w:ind w:left="360"/>
        <w:rPr>
          <w:rFonts w:ascii="Calibri" w:hAnsi="Calibri" w:cs="Calibri"/>
          <w:color w:val="000000" w:themeColor="text1"/>
          <w:sz w:val="14"/>
        </w:rPr>
      </w:pPr>
    </w:p>
    <w:p w:rsidR="00C852AF" w:rsidRPr="00A040A6" w:rsidRDefault="00DD3F99" w:rsidP="00A250FA">
      <w:pPr>
        <w:pStyle w:val="ListParagraph"/>
        <w:numPr>
          <w:ilvl w:val="0"/>
          <w:numId w:val="2"/>
        </w:numPr>
        <w:spacing w:before="120" w:line="240" w:lineRule="auto"/>
        <w:rPr>
          <w:rFonts w:ascii="Calibri" w:hAnsi="Calibri" w:cs="Calibri"/>
          <w:color w:val="000000" w:themeColor="text1"/>
        </w:rPr>
      </w:pPr>
      <w:r w:rsidRPr="00A040A6">
        <w:rPr>
          <w:rFonts w:ascii="Calibri" w:hAnsi="Calibri" w:cs="Calibri"/>
          <w:color w:val="000000" w:themeColor="text1"/>
        </w:rPr>
        <w:t xml:space="preserve">Most </w:t>
      </w:r>
      <w:r w:rsidR="00CA11E0">
        <w:rPr>
          <w:rFonts w:ascii="Calibri" w:hAnsi="Calibri" w:cs="Calibri"/>
          <w:color w:val="000000" w:themeColor="text1"/>
        </w:rPr>
        <w:t xml:space="preserve">colleges </w:t>
      </w:r>
      <w:r w:rsidR="00EF5EA1">
        <w:rPr>
          <w:rFonts w:ascii="Calibri" w:hAnsi="Calibri" w:cs="Calibri"/>
          <w:color w:val="000000" w:themeColor="text1"/>
        </w:rPr>
        <w:t xml:space="preserve">(73.5%) </w:t>
      </w:r>
      <w:r w:rsidRPr="00A040A6">
        <w:rPr>
          <w:rFonts w:ascii="Calibri" w:hAnsi="Calibri" w:cs="Calibri"/>
          <w:color w:val="000000" w:themeColor="text1"/>
        </w:rPr>
        <w:t>reported adequate data resources but indicated a need to access and interpret data</w:t>
      </w:r>
      <w:r w:rsidR="00EF5EA1">
        <w:rPr>
          <w:rFonts w:ascii="Calibri" w:hAnsi="Calibri" w:cs="Calibri"/>
          <w:color w:val="000000" w:themeColor="text1"/>
        </w:rPr>
        <w:t xml:space="preserve"> related to guided pathways</w:t>
      </w:r>
      <w:r w:rsidRPr="00A040A6">
        <w:rPr>
          <w:rFonts w:ascii="Calibri" w:hAnsi="Calibri" w:cs="Calibri"/>
          <w:color w:val="000000" w:themeColor="text1"/>
        </w:rPr>
        <w:t>.</w:t>
      </w:r>
    </w:p>
    <w:p w:rsidR="00A250FA" w:rsidRPr="003E7B4A" w:rsidRDefault="00A250FA" w:rsidP="00A250FA">
      <w:pPr>
        <w:pStyle w:val="ListParagraph"/>
        <w:spacing w:before="120" w:line="240" w:lineRule="auto"/>
        <w:ind w:left="360"/>
        <w:rPr>
          <w:rFonts w:ascii="Calibri" w:hAnsi="Calibri" w:cs="Calibri"/>
          <w:color w:val="000000" w:themeColor="text1"/>
          <w:sz w:val="14"/>
        </w:rPr>
      </w:pPr>
    </w:p>
    <w:p w:rsidR="00DD3F99" w:rsidRDefault="00DD3F99" w:rsidP="00A250FA">
      <w:pPr>
        <w:pStyle w:val="ListParagraph"/>
        <w:numPr>
          <w:ilvl w:val="0"/>
          <w:numId w:val="2"/>
        </w:numPr>
        <w:spacing w:before="120" w:line="240" w:lineRule="auto"/>
        <w:rPr>
          <w:color w:val="000000" w:themeColor="text1"/>
        </w:rPr>
      </w:pPr>
      <w:r w:rsidRPr="00A040A6">
        <w:rPr>
          <w:rFonts w:ascii="Calibri" w:hAnsi="Calibri" w:cs="Calibri"/>
          <w:color w:val="000000" w:themeColor="text1"/>
        </w:rPr>
        <w:t xml:space="preserve">Comments indicated resources were hard to find. </w:t>
      </w:r>
      <w:r w:rsidR="00A040A6" w:rsidRPr="00A040A6">
        <w:rPr>
          <w:rFonts w:ascii="Calibri" w:hAnsi="Calibri" w:cs="Calibri"/>
          <w:color w:val="000000" w:themeColor="text1"/>
        </w:rPr>
        <w:t xml:space="preserve">Requests for examples of practices were widespread, particularly for </w:t>
      </w:r>
      <w:r w:rsidR="00A040A6" w:rsidRPr="00A040A6">
        <w:rPr>
          <w:color w:val="000000" w:themeColor="text1"/>
        </w:rPr>
        <w:t xml:space="preserve">pathways mapping, meta-majors, implementation team startup, scheduling (enrollment management), </w:t>
      </w:r>
      <w:r w:rsidR="00EF5EA1">
        <w:rPr>
          <w:color w:val="000000" w:themeColor="text1"/>
        </w:rPr>
        <w:t xml:space="preserve">data literacy, </w:t>
      </w:r>
      <w:r w:rsidR="00A040A6" w:rsidRPr="00A040A6">
        <w:rPr>
          <w:color w:val="000000" w:themeColor="text1"/>
        </w:rPr>
        <w:t>early alert, acceleration, multiple measures, communication plans, equity, onboarding, and retention strategies.</w:t>
      </w:r>
    </w:p>
    <w:p w:rsidR="00581CE0" w:rsidRDefault="00581CE0" w:rsidP="00581CE0">
      <w:pPr>
        <w:pStyle w:val="Heading1"/>
        <w:spacing w:before="0" w:beforeAutospacing="0" w:after="0" w:afterAutospacing="0"/>
        <w:rPr>
          <w:rFonts w:ascii="Arial" w:hAnsi="Arial" w:cs="Arial"/>
          <w:sz w:val="22"/>
        </w:rPr>
      </w:pPr>
      <w:r w:rsidRPr="00F84715">
        <w:rPr>
          <w:rFonts w:ascii="Arial" w:hAnsi="Arial" w:cs="Arial"/>
          <w:bCs w:val="0"/>
          <w:color w:val="333E48"/>
          <w:sz w:val="24"/>
          <w:szCs w:val="23"/>
        </w:rPr>
        <w:lastRenderedPageBreak/>
        <w:t>Potential Positive or Negative impacts from a Guided Pathways Framework</w:t>
      </w:r>
      <w:r w:rsidRPr="00F84715">
        <w:rPr>
          <w:rFonts w:ascii="Arial" w:hAnsi="Arial" w:cs="Arial"/>
          <w:b w:val="0"/>
          <w:bCs w:val="0"/>
          <w:color w:val="333E48"/>
          <w:sz w:val="24"/>
          <w:szCs w:val="23"/>
        </w:rPr>
        <w:t xml:space="preserve"> Q</w:t>
      </w:r>
      <w:r>
        <w:rPr>
          <w:rFonts w:ascii="Arial" w:hAnsi="Arial" w:cs="Arial"/>
          <w:b w:val="0"/>
          <w:bCs w:val="0"/>
          <w:color w:val="333E48"/>
          <w:sz w:val="24"/>
          <w:szCs w:val="23"/>
        </w:rPr>
        <w:t xml:space="preserve">uestion </w:t>
      </w:r>
      <w:r w:rsidRPr="00F84715">
        <w:rPr>
          <w:rFonts w:ascii="Arial" w:hAnsi="Arial" w:cs="Arial"/>
          <w:sz w:val="24"/>
        </w:rPr>
        <w:t>12</w:t>
      </w:r>
      <w:r>
        <w:rPr>
          <w:rFonts w:ascii="Arial" w:hAnsi="Arial" w:cs="Arial"/>
          <w:sz w:val="22"/>
        </w:rPr>
        <w:t xml:space="preserve">                </w:t>
      </w:r>
    </w:p>
    <w:p w:rsidR="00581CE0" w:rsidRPr="00AC1CE9" w:rsidRDefault="00581CE0" w:rsidP="00581CE0">
      <w:pPr>
        <w:pStyle w:val="Heading1"/>
        <w:spacing w:before="240" w:beforeAutospacing="0" w:after="240" w:afterAutospacing="0"/>
        <w:rPr>
          <w:rFonts w:ascii="Arial" w:hAnsi="Arial" w:cs="Arial"/>
          <w:sz w:val="22"/>
        </w:rPr>
      </w:pPr>
      <w:r w:rsidRPr="00F84715">
        <w:rPr>
          <w:rFonts w:ascii="Arial" w:hAnsi="Arial" w:cs="Arial"/>
          <w:b w:val="0"/>
          <w:sz w:val="22"/>
        </w:rPr>
        <w:t xml:space="preserve">Best quote from this question    </w:t>
      </w:r>
      <w:proofErr w:type="gramStart"/>
      <w:r w:rsidRPr="00F84715">
        <w:rPr>
          <w:rFonts w:ascii="Arial" w:hAnsi="Arial" w:cs="Arial"/>
          <w:b w:val="0"/>
          <w:sz w:val="22"/>
        </w:rPr>
        <w:t xml:space="preserve">   </w:t>
      </w:r>
      <w:r w:rsidRPr="00F84715">
        <w:rPr>
          <w:rFonts w:ascii="Arial" w:hAnsi="Arial" w:cs="Arial"/>
          <w:i/>
          <w:sz w:val="24"/>
          <w:szCs w:val="24"/>
        </w:rPr>
        <w:t>“</w:t>
      </w:r>
      <w:proofErr w:type="gramEnd"/>
      <w:r w:rsidRPr="00F84715">
        <w:rPr>
          <w:rFonts w:ascii="Arial" w:hAnsi="Arial" w:cs="Arial"/>
          <w:i/>
          <w:sz w:val="24"/>
          <w:szCs w:val="24"/>
        </w:rPr>
        <w:t>Change is hard…”</w:t>
      </w:r>
    </w:p>
    <w:tbl>
      <w:tblPr>
        <w:tblStyle w:val="LightList-Accent2"/>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950"/>
      </w:tblGrid>
      <w:tr w:rsidR="00581CE0" w:rsidRPr="0019696E" w:rsidTr="008C3D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rPr>
            </w:pPr>
            <w:r w:rsidRPr="0019696E">
              <w:rPr>
                <w:rFonts w:cstheme="minorHAnsi"/>
              </w:rPr>
              <w:t>Potential Positive Effects</w:t>
            </w:r>
          </w:p>
        </w:tc>
        <w:tc>
          <w:tcPr>
            <w:tcW w:w="4950" w:type="dxa"/>
          </w:tcPr>
          <w:p w:rsidR="00581CE0" w:rsidRPr="0019696E" w:rsidRDefault="00581CE0" w:rsidP="008C3D8A">
            <w:pPr>
              <w:cnfStyle w:val="100000000000" w:firstRow="1" w:lastRow="0" w:firstColumn="0" w:lastColumn="0" w:oddVBand="0" w:evenVBand="0" w:oddHBand="0" w:evenHBand="0" w:firstRowFirstColumn="0" w:firstRowLastColumn="0" w:lastRowFirstColumn="0" w:lastRowLastColumn="0"/>
              <w:rPr>
                <w:rFonts w:cstheme="minorHAnsi"/>
              </w:rPr>
            </w:pPr>
            <w:r w:rsidRPr="0019696E">
              <w:rPr>
                <w:rFonts w:cstheme="minorHAnsi"/>
              </w:rPr>
              <w:t>Potential Negative Effects</w:t>
            </w:r>
          </w:p>
        </w:tc>
      </w:tr>
      <w:tr w:rsidR="00581CE0" w:rsidRPr="0019696E" w:rsidTr="008C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shd w:val="clear" w:color="auto" w:fill="DDD9C3" w:themeFill="background2" w:themeFillShade="E6"/>
          </w:tcPr>
          <w:p w:rsidR="00581CE0" w:rsidRPr="0019696E" w:rsidRDefault="00581CE0" w:rsidP="008C3D8A">
            <w:pPr>
              <w:rPr>
                <w:rFonts w:cstheme="minorHAnsi"/>
              </w:rPr>
            </w:pPr>
            <w:r w:rsidRPr="0019696E">
              <w:rPr>
                <w:rFonts w:cstheme="minorHAnsi"/>
              </w:rPr>
              <w:t>Potential Positive Effects on Institutions</w:t>
            </w:r>
          </w:p>
        </w:tc>
        <w:tc>
          <w:tcPr>
            <w:tcW w:w="4950" w:type="dxa"/>
            <w:shd w:val="clear" w:color="auto" w:fill="DDD9C3" w:themeFill="background2" w:themeFillShade="E6"/>
          </w:tcPr>
          <w:p w:rsidR="00581CE0" w:rsidRPr="0019696E" w:rsidRDefault="00581CE0" w:rsidP="008C3D8A">
            <w:pPr>
              <w:cnfStyle w:val="000000100000" w:firstRow="0" w:lastRow="0" w:firstColumn="0" w:lastColumn="0" w:oddVBand="0" w:evenVBand="0" w:oddHBand="1" w:evenHBand="0" w:firstRowFirstColumn="0" w:firstRowLastColumn="0" w:lastRowFirstColumn="0" w:lastRowLastColumn="0"/>
              <w:rPr>
                <w:rFonts w:cstheme="minorHAnsi"/>
                <w:b/>
              </w:rPr>
            </w:pPr>
            <w:r w:rsidRPr="0019696E">
              <w:rPr>
                <w:rFonts w:cstheme="minorHAnsi"/>
                <w:b/>
              </w:rPr>
              <w:t xml:space="preserve">Potential Negative Effects on Institutions </w:t>
            </w:r>
          </w:p>
        </w:tc>
      </w:tr>
      <w:tr w:rsidR="00581CE0" w:rsidRPr="0019696E" w:rsidTr="008C3D8A">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GP Framework allows student-oriented transformation</w:t>
            </w:r>
          </w:p>
        </w:tc>
        <w:tc>
          <w:tcPr>
            <w:tcW w:w="4950" w:type="dxa"/>
          </w:tcPr>
          <w:p w:rsidR="00581CE0" w:rsidRPr="0019696E" w:rsidRDefault="00581CE0" w:rsidP="008C3D8A">
            <w:pPr>
              <w:cnfStyle w:val="000000000000" w:firstRow="0" w:lastRow="0" w:firstColumn="0" w:lastColumn="0" w:oddVBand="0" w:evenVBand="0" w:oddHBand="0" w:evenHBand="0" w:firstRowFirstColumn="0" w:firstRowLastColumn="0" w:lastRowFirstColumn="0" w:lastRowLastColumn="0"/>
              <w:rPr>
                <w:rFonts w:cstheme="minorHAnsi"/>
              </w:rPr>
            </w:pPr>
            <w:r w:rsidRPr="0019696E">
              <w:rPr>
                <w:rFonts w:cstheme="minorHAnsi"/>
              </w:rPr>
              <w:t>May fail to integrate important projects and initiatives</w:t>
            </w:r>
          </w:p>
        </w:tc>
      </w:tr>
      <w:tr w:rsidR="00581CE0" w:rsidRPr="0019696E" w:rsidTr="008C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Great conversations; requiring greater and effective communication</w:t>
            </w:r>
          </w:p>
        </w:tc>
        <w:tc>
          <w:tcPr>
            <w:tcW w:w="4950" w:type="dxa"/>
          </w:tcPr>
          <w:p w:rsidR="00581CE0" w:rsidRPr="0019696E" w:rsidRDefault="00581CE0" w:rsidP="008C3D8A">
            <w:pPr>
              <w:cnfStyle w:val="000000100000" w:firstRow="0" w:lastRow="0" w:firstColumn="0" w:lastColumn="0" w:oddVBand="0" w:evenVBand="0" w:oddHBand="1" w:evenHBand="0" w:firstRowFirstColumn="0" w:firstRowLastColumn="0" w:lastRowFirstColumn="0" w:lastRowLastColumn="0"/>
              <w:rPr>
                <w:rFonts w:cstheme="minorHAnsi"/>
              </w:rPr>
            </w:pPr>
            <w:r w:rsidRPr="0019696E">
              <w:rPr>
                <w:rFonts w:cstheme="minorHAnsi"/>
              </w:rPr>
              <w:t>Conflicts requiring mediation and compromise</w:t>
            </w:r>
          </w:p>
        </w:tc>
      </w:tr>
      <w:tr w:rsidR="00581CE0" w:rsidRPr="0019696E" w:rsidTr="008C3D8A">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Greater transparency and clarity</w:t>
            </w:r>
          </w:p>
        </w:tc>
        <w:tc>
          <w:tcPr>
            <w:tcW w:w="4950" w:type="dxa"/>
          </w:tcPr>
          <w:p w:rsidR="00581CE0" w:rsidRPr="0019696E" w:rsidRDefault="00581CE0" w:rsidP="008C3D8A">
            <w:pPr>
              <w:cnfStyle w:val="000000000000" w:firstRow="0" w:lastRow="0" w:firstColumn="0" w:lastColumn="0" w:oddVBand="0" w:evenVBand="0" w:oddHBand="0" w:evenHBand="0" w:firstRowFirstColumn="0" w:firstRowLastColumn="0" w:lastRowFirstColumn="0" w:lastRowLastColumn="0"/>
              <w:rPr>
                <w:rFonts w:cstheme="minorHAnsi"/>
              </w:rPr>
            </w:pPr>
            <w:r w:rsidRPr="0019696E">
              <w:rPr>
                <w:rFonts w:cstheme="minorHAnsi"/>
              </w:rPr>
              <w:t>Fiercely guarded territory = tensions</w:t>
            </w:r>
          </w:p>
        </w:tc>
      </w:tr>
      <w:tr w:rsidR="00581CE0" w:rsidRPr="0019696E" w:rsidTr="008C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tcPr>
          <w:p w:rsidR="00581CE0" w:rsidRPr="0019696E" w:rsidRDefault="00581CE0" w:rsidP="008C3D8A">
            <w:pPr>
              <w:rPr>
                <w:rFonts w:cstheme="minorHAnsi"/>
                <w:b w:val="0"/>
              </w:rPr>
            </w:pPr>
            <w:r w:rsidRPr="0019696E">
              <w:rPr>
                <w:rFonts w:cstheme="minorHAnsi"/>
                <w:b w:val="0"/>
              </w:rPr>
              <w:t>Better faculty become mentors concerning jobs and transfer clarity on GE may be more fruitful for students and faculty</w:t>
            </w:r>
          </w:p>
        </w:tc>
        <w:tc>
          <w:tcPr>
            <w:tcW w:w="4950" w:type="dxa"/>
            <w:shd w:val="clear" w:color="auto" w:fill="auto"/>
          </w:tcPr>
          <w:p w:rsidR="00581CE0" w:rsidRPr="0019696E" w:rsidRDefault="00581CE0" w:rsidP="008C3D8A">
            <w:pPr>
              <w:cnfStyle w:val="000000100000" w:firstRow="0" w:lastRow="0" w:firstColumn="0" w:lastColumn="0" w:oddVBand="0" w:evenVBand="0" w:oddHBand="1" w:evenHBand="0" w:firstRowFirstColumn="0" w:firstRowLastColumn="0" w:lastRowFirstColumn="0" w:lastRowLastColumn="0"/>
              <w:rPr>
                <w:rFonts w:cstheme="minorHAnsi"/>
              </w:rPr>
            </w:pPr>
            <w:r w:rsidRPr="0019696E">
              <w:rPr>
                <w:rFonts w:cstheme="minorHAnsi"/>
              </w:rPr>
              <w:t>Loss of faculty autonomy; increased faculty competition for courses</w:t>
            </w:r>
          </w:p>
        </w:tc>
      </w:tr>
      <w:tr w:rsidR="00581CE0" w:rsidRPr="0019696E" w:rsidTr="008C3D8A">
        <w:tc>
          <w:tcPr>
            <w:cnfStyle w:val="001000000000" w:firstRow="0" w:lastRow="0" w:firstColumn="1" w:lastColumn="0" w:oddVBand="0" w:evenVBand="0" w:oddHBand="0" w:evenHBand="0" w:firstRowFirstColumn="0" w:firstRowLastColumn="0" w:lastRowFirstColumn="0" w:lastRowLastColumn="0"/>
            <w:tcW w:w="4680" w:type="dxa"/>
            <w:shd w:val="clear" w:color="auto" w:fill="auto"/>
          </w:tcPr>
          <w:p w:rsidR="00581CE0" w:rsidRPr="0019696E" w:rsidRDefault="00581CE0" w:rsidP="008C3D8A">
            <w:pPr>
              <w:rPr>
                <w:rFonts w:cstheme="minorHAnsi"/>
                <w:b w:val="0"/>
              </w:rPr>
            </w:pPr>
            <w:r w:rsidRPr="0019696E">
              <w:rPr>
                <w:rFonts w:cstheme="minorHAnsi"/>
                <w:b w:val="0"/>
              </w:rPr>
              <w:t>Increase completions &amp; decrease unnecessary units; Address completion and success rates</w:t>
            </w:r>
          </w:p>
        </w:tc>
        <w:tc>
          <w:tcPr>
            <w:tcW w:w="4950" w:type="dxa"/>
            <w:shd w:val="clear" w:color="auto" w:fill="auto"/>
          </w:tcPr>
          <w:p w:rsidR="00581CE0" w:rsidRPr="0019696E" w:rsidRDefault="00581CE0" w:rsidP="008C3D8A">
            <w:pPr>
              <w:cnfStyle w:val="000000000000" w:firstRow="0" w:lastRow="0" w:firstColumn="0" w:lastColumn="0" w:oddVBand="0" w:evenVBand="0" w:oddHBand="0" w:evenHBand="0" w:firstRowFirstColumn="0" w:firstRowLastColumn="0" w:lastRowFirstColumn="0" w:lastRowLastColumn="0"/>
              <w:rPr>
                <w:rFonts w:cstheme="minorHAnsi"/>
              </w:rPr>
            </w:pPr>
            <w:r w:rsidRPr="0019696E">
              <w:rPr>
                <w:rFonts w:cstheme="minorHAnsi"/>
              </w:rPr>
              <w:t>Performance –based goals may narrow student success focus</w:t>
            </w:r>
          </w:p>
        </w:tc>
      </w:tr>
      <w:tr w:rsidR="00581CE0" w:rsidRPr="0019696E" w:rsidTr="008C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tcPr>
          <w:p w:rsidR="00581CE0" w:rsidRPr="0019696E" w:rsidRDefault="00581CE0" w:rsidP="008C3D8A">
            <w:pPr>
              <w:rPr>
                <w:rFonts w:cstheme="minorHAnsi"/>
                <w:b w:val="0"/>
              </w:rPr>
            </w:pPr>
            <w:r w:rsidRPr="0019696E">
              <w:rPr>
                <w:rFonts w:cstheme="minorHAnsi"/>
                <w:b w:val="0"/>
              </w:rPr>
              <w:t>Profoundly transformational</w:t>
            </w:r>
          </w:p>
        </w:tc>
        <w:tc>
          <w:tcPr>
            <w:tcW w:w="4950" w:type="dxa"/>
            <w:shd w:val="clear" w:color="auto" w:fill="auto"/>
          </w:tcPr>
          <w:p w:rsidR="00581CE0" w:rsidRPr="0019696E" w:rsidRDefault="00581CE0" w:rsidP="008C3D8A">
            <w:pPr>
              <w:cnfStyle w:val="000000100000" w:firstRow="0" w:lastRow="0" w:firstColumn="0" w:lastColumn="0" w:oddVBand="0" w:evenVBand="0" w:oddHBand="1" w:evenHBand="0" w:firstRowFirstColumn="0" w:firstRowLastColumn="0" w:lastRowFirstColumn="0" w:lastRowLastColumn="0"/>
              <w:rPr>
                <w:rFonts w:cstheme="minorHAnsi"/>
              </w:rPr>
            </w:pPr>
            <w:r w:rsidRPr="0019696E">
              <w:rPr>
                <w:rFonts w:cstheme="minorHAnsi"/>
              </w:rPr>
              <w:t>Dysfunctional college no agreement on plan</w:t>
            </w:r>
          </w:p>
        </w:tc>
      </w:tr>
      <w:tr w:rsidR="00581CE0" w:rsidRPr="0019696E" w:rsidTr="008C3D8A">
        <w:tc>
          <w:tcPr>
            <w:cnfStyle w:val="001000000000" w:firstRow="0" w:lastRow="0" w:firstColumn="1" w:lastColumn="0" w:oddVBand="0" w:evenVBand="0" w:oddHBand="0" w:evenHBand="0" w:firstRowFirstColumn="0" w:firstRowLastColumn="0" w:lastRowFirstColumn="0" w:lastRowLastColumn="0"/>
            <w:tcW w:w="4680" w:type="dxa"/>
            <w:shd w:val="clear" w:color="auto" w:fill="auto"/>
          </w:tcPr>
          <w:p w:rsidR="00581CE0" w:rsidRPr="0019696E" w:rsidRDefault="00581CE0" w:rsidP="008C3D8A">
            <w:pPr>
              <w:rPr>
                <w:rFonts w:cstheme="minorHAnsi"/>
                <w:b w:val="0"/>
              </w:rPr>
            </w:pPr>
            <w:r w:rsidRPr="0019696E">
              <w:rPr>
                <w:rFonts w:cstheme="minorHAnsi"/>
                <w:b w:val="0"/>
              </w:rPr>
              <w:t>Institution-wide collaboration; constant and deliberate collaboration</w:t>
            </w:r>
          </w:p>
        </w:tc>
        <w:tc>
          <w:tcPr>
            <w:tcW w:w="4950" w:type="dxa"/>
            <w:shd w:val="clear" w:color="auto" w:fill="auto"/>
          </w:tcPr>
          <w:p w:rsidR="00581CE0" w:rsidRPr="0019696E" w:rsidRDefault="00581CE0" w:rsidP="008C3D8A">
            <w:pPr>
              <w:cnfStyle w:val="000000000000" w:firstRow="0" w:lastRow="0" w:firstColumn="0" w:lastColumn="0" w:oddVBand="0" w:evenVBand="0" w:oddHBand="0" w:evenHBand="0" w:firstRowFirstColumn="0" w:firstRowLastColumn="0" w:lastRowFirstColumn="0" w:lastRowLastColumn="0"/>
              <w:rPr>
                <w:rFonts w:cstheme="minorHAnsi"/>
              </w:rPr>
            </w:pPr>
            <w:r w:rsidRPr="0019696E">
              <w:rPr>
                <w:rFonts w:cstheme="minorHAnsi"/>
              </w:rPr>
              <w:t>Marginalizing smaller departments without adequate representation</w:t>
            </w:r>
          </w:p>
        </w:tc>
      </w:tr>
      <w:tr w:rsidR="00581CE0" w:rsidRPr="0019696E" w:rsidTr="008C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shd w:val="clear" w:color="auto" w:fill="DDD9C3" w:themeFill="background2" w:themeFillShade="E6"/>
          </w:tcPr>
          <w:p w:rsidR="00581CE0" w:rsidRPr="0019696E" w:rsidRDefault="00581CE0" w:rsidP="008C3D8A">
            <w:pPr>
              <w:rPr>
                <w:rFonts w:cstheme="minorHAnsi"/>
              </w:rPr>
            </w:pPr>
            <w:r w:rsidRPr="0019696E">
              <w:rPr>
                <w:rFonts w:cstheme="minorHAnsi"/>
              </w:rPr>
              <w:t>Potential Benefits to Students</w:t>
            </w:r>
          </w:p>
        </w:tc>
        <w:tc>
          <w:tcPr>
            <w:tcW w:w="4950" w:type="dxa"/>
            <w:shd w:val="clear" w:color="auto" w:fill="DDD9C3" w:themeFill="background2" w:themeFillShade="E6"/>
          </w:tcPr>
          <w:p w:rsidR="00581CE0" w:rsidRPr="0019696E" w:rsidRDefault="00581CE0" w:rsidP="008C3D8A">
            <w:pPr>
              <w:cnfStyle w:val="000000100000" w:firstRow="0" w:lastRow="0" w:firstColumn="0" w:lastColumn="0" w:oddVBand="0" w:evenVBand="0" w:oddHBand="1" w:evenHBand="0" w:firstRowFirstColumn="0" w:firstRowLastColumn="0" w:lastRowFirstColumn="0" w:lastRowLastColumn="0"/>
              <w:rPr>
                <w:rFonts w:cstheme="minorHAnsi"/>
                <w:b/>
              </w:rPr>
            </w:pPr>
            <w:r w:rsidRPr="0019696E">
              <w:rPr>
                <w:rFonts w:cstheme="minorHAnsi"/>
                <w:b/>
              </w:rPr>
              <w:t>Potential Negative Effects on Students</w:t>
            </w:r>
          </w:p>
        </w:tc>
      </w:tr>
      <w:tr w:rsidR="00581CE0" w:rsidRPr="0019696E" w:rsidTr="008C3D8A">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Closes equity gaps</w:t>
            </w:r>
          </w:p>
        </w:tc>
        <w:tc>
          <w:tcPr>
            <w:tcW w:w="4950" w:type="dxa"/>
          </w:tcPr>
          <w:p w:rsidR="00581CE0" w:rsidRPr="0019696E" w:rsidRDefault="00581CE0" w:rsidP="008C3D8A">
            <w:pPr>
              <w:cnfStyle w:val="000000000000" w:firstRow="0" w:lastRow="0" w:firstColumn="0" w:lastColumn="0" w:oddVBand="0" w:evenVBand="0" w:oddHBand="0" w:evenHBand="0" w:firstRowFirstColumn="0" w:firstRowLastColumn="0" w:lastRowFirstColumn="0" w:lastRowLastColumn="0"/>
              <w:rPr>
                <w:rFonts w:cstheme="minorHAnsi"/>
              </w:rPr>
            </w:pPr>
            <w:r w:rsidRPr="0019696E">
              <w:rPr>
                <w:rFonts w:cstheme="minorHAnsi"/>
              </w:rPr>
              <w:t>Treating students as a number</w:t>
            </w:r>
          </w:p>
        </w:tc>
      </w:tr>
      <w:tr w:rsidR="00581CE0" w:rsidRPr="0019696E" w:rsidTr="008C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Increased retention and persistence</w:t>
            </w:r>
          </w:p>
        </w:tc>
        <w:tc>
          <w:tcPr>
            <w:tcW w:w="4950" w:type="dxa"/>
          </w:tcPr>
          <w:p w:rsidR="00581CE0" w:rsidRPr="0019696E" w:rsidRDefault="00581CE0" w:rsidP="008C3D8A">
            <w:pPr>
              <w:cnfStyle w:val="000000100000" w:firstRow="0" w:lastRow="0" w:firstColumn="0" w:lastColumn="0" w:oddVBand="0" w:evenVBand="0" w:oddHBand="1" w:evenHBand="0" w:firstRowFirstColumn="0" w:firstRowLastColumn="0" w:lastRowFirstColumn="0" w:lastRowLastColumn="0"/>
              <w:rPr>
                <w:rFonts w:cstheme="minorHAnsi"/>
              </w:rPr>
            </w:pPr>
            <w:r w:rsidRPr="0019696E">
              <w:rPr>
                <w:rFonts w:cstheme="minorHAnsi"/>
              </w:rPr>
              <w:t xml:space="preserve">Eliminate </w:t>
            </w:r>
            <w:proofErr w:type="gramStart"/>
            <w:r w:rsidRPr="0019696E">
              <w:rPr>
                <w:rFonts w:cstheme="minorHAnsi"/>
              </w:rPr>
              <w:t>exploration;  Destroying</w:t>
            </w:r>
            <w:proofErr w:type="gramEnd"/>
            <w:r w:rsidRPr="0019696E">
              <w:rPr>
                <w:rFonts w:cstheme="minorHAnsi"/>
              </w:rPr>
              <w:t xml:space="preserve"> personal enrichment/liberal arts</w:t>
            </w:r>
          </w:p>
        </w:tc>
      </w:tr>
      <w:tr w:rsidR="00581CE0" w:rsidRPr="0019696E" w:rsidTr="008C3D8A">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Clear navigation for students</w:t>
            </w:r>
          </w:p>
        </w:tc>
        <w:tc>
          <w:tcPr>
            <w:tcW w:w="4950" w:type="dxa"/>
          </w:tcPr>
          <w:p w:rsidR="00581CE0" w:rsidRPr="0019696E" w:rsidRDefault="00581CE0" w:rsidP="008C3D8A">
            <w:pPr>
              <w:cnfStyle w:val="000000000000" w:firstRow="0" w:lastRow="0" w:firstColumn="0" w:lastColumn="0" w:oddVBand="0" w:evenVBand="0" w:oddHBand="0" w:evenHBand="0" w:firstRowFirstColumn="0" w:firstRowLastColumn="0" w:lastRowFirstColumn="0" w:lastRowLastColumn="0"/>
              <w:rPr>
                <w:rFonts w:cstheme="minorHAnsi"/>
              </w:rPr>
            </w:pPr>
            <w:r w:rsidRPr="0019696E">
              <w:rPr>
                <w:rFonts w:cstheme="minorHAnsi"/>
              </w:rPr>
              <w:t>Loss of specific courses as evidenced by AB 705</w:t>
            </w:r>
          </w:p>
        </w:tc>
      </w:tr>
      <w:tr w:rsidR="00581CE0" w:rsidRPr="0019696E" w:rsidTr="008C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Students better informed</w:t>
            </w:r>
          </w:p>
        </w:tc>
        <w:tc>
          <w:tcPr>
            <w:tcW w:w="4950" w:type="dxa"/>
          </w:tcPr>
          <w:p w:rsidR="00581CE0" w:rsidRPr="0019696E" w:rsidRDefault="00581CE0" w:rsidP="008C3D8A">
            <w:pPr>
              <w:cnfStyle w:val="000000100000" w:firstRow="0" w:lastRow="0" w:firstColumn="0" w:lastColumn="0" w:oddVBand="0" w:evenVBand="0" w:oddHBand="1" w:evenHBand="0" w:firstRowFirstColumn="0" w:firstRowLastColumn="0" w:lastRowFirstColumn="0" w:lastRowLastColumn="0"/>
              <w:rPr>
                <w:rFonts w:cstheme="minorHAnsi"/>
              </w:rPr>
            </w:pPr>
            <w:r w:rsidRPr="0019696E">
              <w:rPr>
                <w:rFonts w:cstheme="minorHAnsi"/>
              </w:rPr>
              <w:t>Lack of choice; limit student autonomy</w:t>
            </w:r>
          </w:p>
        </w:tc>
      </w:tr>
      <w:tr w:rsidR="00581CE0" w:rsidRPr="0019696E" w:rsidTr="008C3D8A">
        <w:trPr>
          <w:trHeight w:val="40"/>
        </w:trPr>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Alleviate students taking wrong courses and getting lost</w:t>
            </w:r>
          </w:p>
        </w:tc>
        <w:tc>
          <w:tcPr>
            <w:tcW w:w="4950" w:type="dxa"/>
          </w:tcPr>
          <w:p w:rsidR="00581CE0" w:rsidRPr="0019696E" w:rsidRDefault="00581CE0" w:rsidP="008C3D8A">
            <w:pPr>
              <w:cnfStyle w:val="000000000000" w:firstRow="0" w:lastRow="0" w:firstColumn="0" w:lastColumn="0" w:oddVBand="0" w:evenVBand="0" w:oddHBand="0" w:evenHBand="0" w:firstRowFirstColumn="0" w:firstRowLastColumn="0" w:lastRowFirstColumn="0" w:lastRowLastColumn="0"/>
              <w:rPr>
                <w:rFonts w:cstheme="minorHAnsi"/>
              </w:rPr>
            </w:pPr>
            <w:r w:rsidRPr="0019696E">
              <w:rPr>
                <w:rFonts w:cstheme="minorHAnsi"/>
              </w:rPr>
              <w:t>Continuous nudging and alerts will irritate students like lifelong learners or self-motivated</w:t>
            </w:r>
          </w:p>
        </w:tc>
      </w:tr>
      <w:tr w:rsidR="00581CE0" w:rsidRPr="0019696E" w:rsidTr="008C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shd w:val="clear" w:color="auto" w:fill="DDD9C3" w:themeFill="background2" w:themeFillShade="E6"/>
          </w:tcPr>
          <w:p w:rsidR="00581CE0" w:rsidRPr="0019696E" w:rsidRDefault="00581CE0" w:rsidP="008C3D8A">
            <w:pPr>
              <w:rPr>
                <w:rFonts w:cstheme="minorHAnsi"/>
              </w:rPr>
            </w:pPr>
            <w:r w:rsidRPr="0019696E">
              <w:rPr>
                <w:rFonts w:cstheme="minorHAnsi"/>
              </w:rPr>
              <w:t>Potential Benefits on Curriculum &amp; Programs</w:t>
            </w:r>
          </w:p>
        </w:tc>
        <w:tc>
          <w:tcPr>
            <w:tcW w:w="4950" w:type="dxa"/>
            <w:shd w:val="clear" w:color="auto" w:fill="DDD9C3" w:themeFill="background2" w:themeFillShade="E6"/>
          </w:tcPr>
          <w:p w:rsidR="00581CE0" w:rsidRPr="0019696E" w:rsidRDefault="00581CE0" w:rsidP="008C3D8A">
            <w:pPr>
              <w:cnfStyle w:val="000000100000" w:firstRow="0" w:lastRow="0" w:firstColumn="0" w:lastColumn="0" w:oddVBand="0" w:evenVBand="0" w:oddHBand="1" w:evenHBand="0" w:firstRowFirstColumn="0" w:firstRowLastColumn="0" w:lastRowFirstColumn="0" w:lastRowLastColumn="0"/>
              <w:rPr>
                <w:rFonts w:cstheme="minorHAnsi"/>
                <w:b/>
              </w:rPr>
            </w:pPr>
            <w:r w:rsidRPr="0019696E">
              <w:rPr>
                <w:rFonts w:cstheme="minorHAnsi"/>
                <w:b/>
              </w:rPr>
              <w:t xml:space="preserve">Potential Negative Effect on Curriculum &amp; Programs </w:t>
            </w:r>
          </w:p>
        </w:tc>
      </w:tr>
      <w:tr w:rsidR="00581CE0" w:rsidRPr="0019696E" w:rsidTr="008C3D8A">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Strengthen curriculum and programs (including currency, rigor and outcomes)</w:t>
            </w:r>
          </w:p>
        </w:tc>
        <w:tc>
          <w:tcPr>
            <w:tcW w:w="4950" w:type="dxa"/>
          </w:tcPr>
          <w:p w:rsidR="00581CE0" w:rsidRPr="0019696E" w:rsidRDefault="00581CE0" w:rsidP="008C3D8A">
            <w:pPr>
              <w:cnfStyle w:val="000000000000" w:firstRow="0" w:lastRow="0" w:firstColumn="0" w:lastColumn="0" w:oddVBand="0" w:evenVBand="0" w:oddHBand="0" w:evenHBand="0" w:firstRowFirstColumn="0" w:firstRowLastColumn="0" w:lastRowFirstColumn="0" w:lastRowLastColumn="0"/>
              <w:rPr>
                <w:rFonts w:cstheme="minorHAnsi"/>
              </w:rPr>
            </w:pPr>
            <w:r w:rsidRPr="0019696E">
              <w:rPr>
                <w:rFonts w:cstheme="minorHAnsi"/>
              </w:rPr>
              <w:t>Reduced rigor to produce degrees education; Decrease development of new programs and courses</w:t>
            </w:r>
          </w:p>
        </w:tc>
      </w:tr>
      <w:tr w:rsidR="00581CE0" w:rsidRPr="0019696E" w:rsidTr="008C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More career-focused curriculum</w:t>
            </w:r>
          </w:p>
        </w:tc>
        <w:tc>
          <w:tcPr>
            <w:tcW w:w="4950" w:type="dxa"/>
          </w:tcPr>
          <w:p w:rsidR="00581CE0" w:rsidRPr="0019696E" w:rsidRDefault="00581CE0" w:rsidP="008C3D8A">
            <w:pPr>
              <w:cnfStyle w:val="000000100000" w:firstRow="0" w:lastRow="0" w:firstColumn="0" w:lastColumn="0" w:oddVBand="0" w:evenVBand="0" w:oddHBand="1" w:evenHBand="0" w:firstRowFirstColumn="0" w:firstRowLastColumn="0" w:lastRowFirstColumn="0" w:lastRowLastColumn="0"/>
              <w:rPr>
                <w:rFonts w:cstheme="minorHAnsi"/>
              </w:rPr>
            </w:pPr>
            <w:r w:rsidRPr="0019696E">
              <w:rPr>
                <w:rFonts w:cstheme="minorHAnsi"/>
              </w:rPr>
              <w:t>Effort to make student choose a major is additional work primarily placed on faculty</w:t>
            </w:r>
          </w:p>
        </w:tc>
      </w:tr>
      <w:tr w:rsidR="00581CE0" w:rsidRPr="0019696E" w:rsidTr="008C3D8A">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Academic goals will be achieved more quickly</w:t>
            </w:r>
          </w:p>
        </w:tc>
        <w:tc>
          <w:tcPr>
            <w:tcW w:w="4950" w:type="dxa"/>
          </w:tcPr>
          <w:p w:rsidR="00581CE0" w:rsidRPr="0019696E" w:rsidRDefault="00581CE0" w:rsidP="008C3D8A">
            <w:pPr>
              <w:cnfStyle w:val="000000000000" w:firstRow="0" w:lastRow="0" w:firstColumn="0" w:lastColumn="0" w:oddVBand="0" w:evenVBand="0" w:oddHBand="0" w:evenHBand="0" w:firstRowFirstColumn="0" w:firstRowLastColumn="0" w:lastRowFirstColumn="0" w:lastRowLastColumn="0"/>
              <w:rPr>
                <w:rFonts w:cstheme="minorHAnsi"/>
              </w:rPr>
            </w:pPr>
            <w:r w:rsidRPr="0019696E">
              <w:rPr>
                <w:rFonts w:cstheme="minorHAnsi"/>
              </w:rPr>
              <w:t>Math and English sequences will impact overall curriculum</w:t>
            </w:r>
          </w:p>
        </w:tc>
      </w:tr>
      <w:tr w:rsidR="00581CE0" w:rsidRPr="0019696E" w:rsidTr="008C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shd w:val="clear" w:color="auto" w:fill="DDD9C3" w:themeFill="background2" w:themeFillShade="E6"/>
          </w:tcPr>
          <w:p w:rsidR="00581CE0" w:rsidRPr="0019696E" w:rsidRDefault="00581CE0" w:rsidP="008C3D8A">
            <w:pPr>
              <w:rPr>
                <w:rFonts w:cstheme="minorHAnsi"/>
              </w:rPr>
            </w:pPr>
            <w:r w:rsidRPr="0019696E">
              <w:rPr>
                <w:rFonts w:cstheme="minorHAnsi"/>
              </w:rPr>
              <w:t>Potential Benefit for Student Services</w:t>
            </w:r>
          </w:p>
        </w:tc>
        <w:tc>
          <w:tcPr>
            <w:tcW w:w="4950" w:type="dxa"/>
            <w:shd w:val="clear" w:color="auto" w:fill="DDD9C3" w:themeFill="background2" w:themeFillShade="E6"/>
          </w:tcPr>
          <w:p w:rsidR="00581CE0" w:rsidRPr="0019696E" w:rsidRDefault="00581CE0" w:rsidP="008C3D8A">
            <w:pPr>
              <w:cnfStyle w:val="000000100000" w:firstRow="0" w:lastRow="0" w:firstColumn="0" w:lastColumn="0" w:oddVBand="0" w:evenVBand="0" w:oddHBand="1" w:evenHBand="0" w:firstRowFirstColumn="0" w:firstRowLastColumn="0" w:lastRowFirstColumn="0" w:lastRowLastColumn="0"/>
              <w:rPr>
                <w:rFonts w:cstheme="minorHAnsi"/>
                <w:b/>
              </w:rPr>
            </w:pPr>
            <w:r w:rsidRPr="0019696E">
              <w:rPr>
                <w:rFonts w:cstheme="minorHAnsi"/>
                <w:b/>
              </w:rPr>
              <w:t>Potential Negative Effect for Student Services</w:t>
            </w:r>
          </w:p>
        </w:tc>
      </w:tr>
      <w:tr w:rsidR="00581CE0" w:rsidRPr="0019696E" w:rsidTr="008C3D8A">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Better, more efficient, timely student services and access to services</w:t>
            </w:r>
          </w:p>
        </w:tc>
        <w:tc>
          <w:tcPr>
            <w:tcW w:w="4950" w:type="dxa"/>
          </w:tcPr>
          <w:p w:rsidR="00581CE0" w:rsidRPr="0019696E" w:rsidRDefault="00581CE0" w:rsidP="008C3D8A">
            <w:pPr>
              <w:cnfStyle w:val="000000000000" w:firstRow="0" w:lastRow="0" w:firstColumn="0" w:lastColumn="0" w:oddVBand="0" w:evenVBand="0" w:oddHBand="0" w:evenHBand="0" w:firstRowFirstColumn="0" w:firstRowLastColumn="0" w:lastRowFirstColumn="0" w:lastRowLastColumn="0"/>
              <w:rPr>
                <w:rFonts w:cstheme="minorHAnsi"/>
              </w:rPr>
            </w:pPr>
            <w:r w:rsidRPr="0019696E">
              <w:rPr>
                <w:rFonts w:cstheme="minorHAnsi"/>
              </w:rPr>
              <w:t>Additional institutional barriers</w:t>
            </w:r>
          </w:p>
        </w:tc>
      </w:tr>
      <w:tr w:rsidR="00581CE0" w:rsidRPr="0019696E" w:rsidTr="008C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Increased collaboration streamlining services</w:t>
            </w:r>
          </w:p>
        </w:tc>
        <w:tc>
          <w:tcPr>
            <w:tcW w:w="4950" w:type="dxa"/>
          </w:tcPr>
          <w:p w:rsidR="00581CE0" w:rsidRPr="0019696E" w:rsidRDefault="00581CE0" w:rsidP="008C3D8A">
            <w:pPr>
              <w:cnfStyle w:val="000000100000" w:firstRow="0" w:lastRow="0" w:firstColumn="0" w:lastColumn="0" w:oddVBand="0" w:evenVBand="0" w:oddHBand="1" w:evenHBand="0" w:firstRowFirstColumn="0" w:firstRowLastColumn="0" w:lastRowFirstColumn="0" w:lastRowLastColumn="0"/>
              <w:rPr>
                <w:rFonts w:cstheme="minorHAnsi"/>
              </w:rPr>
            </w:pPr>
            <w:r w:rsidRPr="0019696E">
              <w:rPr>
                <w:rFonts w:cstheme="minorHAnsi"/>
              </w:rPr>
              <w:t>Students must pick career goals or majors too early</w:t>
            </w:r>
          </w:p>
        </w:tc>
      </w:tr>
      <w:tr w:rsidR="00581CE0" w:rsidRPr="0019696E" w:rsidTr="008C3D8A">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More resources shifted to student services</w:t>
            </w:r>
          </w:p>
        </w:tc>
        <w:tc>
          <w:tcPr>
            <w:tcW w:w="4950" w:type="dxa"/>
          </w:tcPr>
          <w:p w:rsidR="00581CE0" w:rsidRPr="0019696E" w:rsidRDefault="00581CE0" w:rsidP="008C3D8A">
            <w:pPr>
              <w:cnfStyle w:val="000000000000" w:firstRow="0" w:lastRow="0" w:firstColumn="0" w:lastColumn="0" w:oddVBand="0" w:evenVBand="0" w:oddHBand="0" w:evenHBand="0" w:firstRowFirstColumn="0" w:firstRowLastColumn="0" w:lastRowFirstColumn="0" w:lastRowLastColumn="0"/>
              <w:rPr>
                <w:rFonts w:cstheme="minorHAnsi"/>
              </w:rPr>
            </w:pPr>
            <w:r w:rsidRPr="0019696E">
              <w:rPr>
                <w:rFonts w:cstheme="minorHAnsi"/>
              </w:rPr>
              <w:t>Funding models may negatively impact work</w:t>
            </w:r>
          </w:p>
        </w:tc>
      </w:tr>
    </w:tbl>
    <w:p w:rsidR="00581CE0" w:rsidRDefault="00581CE0" w:rsidP="00581CE0">
      <w:pPr>
        <w:spacing w:before="120" w:line="240" w:lineRule="auto"/>
        <w:rPr>
          <w:color w:val="000000" w:themeColor="text1"/>
        </w:rPr>
      </w:pPr>
      <w:r>
        <w:rPr>
          <w:color w:val="000000" w:themeColor="text1"/>
        </w:rPr>
        <w:t>The entire survey summary</w:t>
      </w:r>
      <w:r w:rsidR="0019696E">
        <w:rPr>
          <w:color w:val="000000" w:themeColor="text1"/>
        </w:rPr>
        <w:t>, with helpful input from the colleges,</w:t>
      </w:r>
      <w:r>
        <w:rPr>
          <w:color w:val="000000" w:themeColor="text1"/>
        </w:rPr>
        <w:t xml:space="preserve"> is posted at the Guided Pathways</w:t>
      </w:r>
      <w:r w:rsidR="0019696E">
        <w:rPr>
          <w:color w:val="000000" w:themeColor="text1"/>
        </w:rPr>
        <w:t xml:space="preserve"> Taskforce</w:t>
      </w:r>
      <w:r>
        <w:rPr>
          <w:color w:val="000000" w:themeColor="text1"/>
        </w:rPr>
        <w:t xml:space="preserve"> website at ASCCC</w:t>
      </w:r>
      <w:r w:rsidR="0019696E">
        <w:rPr>
          <w:color w:val="000000" w:themeColor="text1"/>
        </w:rPr>
        <w:t xml:space="preserve"> under resources </w:t>
      </w:r>
      <w:hyperlink r:id="rId11" w:history="1">
        <w:r w:rsidR="0019696E" w:rsidRPr="00D34718">
          <w:rPr>
            <w:rStyle w:val="Hyperlink"/>
          </w:rPr>
          <w:t>https://asccc.org/directory/guided-pathways-task-force</w:t>
        </w:r>
      </w:hyperlink>
    </w:p>
    <w:p w:rsidR="0019696E" w:rsidRPr="00581CE0" w:rsidRDefault="0019696E" w:rsidP="00581CE0">
      <w:pPr>
        <w:spacing w:before="120" w:line="240" w:lineRule="auto"/>
        <w:rPr>
          <w:color w:val="000000" w:themeColor="text1"/>
        </w:rPr>
      </w:pPr>
      <w:bookmarkStart w:id="0" w:name="_GoBack"/>
      <w:bookmarkEnd w:id="0"/>
    </w:p>
    <w:sectPr w:rsidR="0019696E" w:rsidRPr="00581CE0" w:rsidSect="00DD3F99">
      <w:headerReference w:type="default" r:id="rId12"/>
      <w:footerReference w:type="defaul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115" w:rsidRDefault="00B24115" w:rsidP="00B24115">
      <w:pPr>
        <w:spacing w:after="0" w:line="240" w:lineRule="auto"/>
      </w:pPr>
      <w:r>
        <w:separator/>
      </w:r>
    </w:p>
  </w:endnote>
  <w:endnote w:type="continuationSeparator" w:id="0">
    <w:p w:rsidR="00B24115" w:rsidRDefault="00B24115" w:rsidP="00B2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115" w:rsidRDefault="00A040A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4/</w:t>
    </w:r>
    <w:r w:rsidR="00B24115">
      <w:rPr>
        <w:rFonts w:asciiTheme="majorHAnsi" w:eastAsiaTheme="majorEastAsia" w:hAnsiTheme="majorHAnsi" w:cstheme="majorBidi"/>
      </w:rPr>
      <w:t>1/2018</w:t>
    </w:r>
    <w:r w:rsidR="00B24115">
      <w:rPr>
        <w:rFonts w:asciiTheme="majorHAnsi" w:eastAsiaTheme="majorEastAsia" w:hAnsiTheme="majorHAnsi" w:cstheme="majorBidi"/>
      </w:rPr>
      <w:ptab w:relativeTo="margin" w:alignment="right" w:leader="none"/>
    </w:r>
    <w:r w:rsidR="00B24115">
      <w:rPr>
        <w:rFonts w:asciiTheme="majorHAnsi" w:eastAsiaTheme="majorEastAsia" w:hAnsiTheme="majorHAnsi" w:cstheme="majorBidi"/>
      </w:rPr>
      <w:t xml:space="preserve">Page </w:t>
    </w:r>
    <w:r w:rsidR="00B24115">
      <w:rPr>
        <w:rFonts w:eastAsiaTheme="minorEastAsia"/>
      </w:rPr>
      <w:fldChar w:fldCharType="begin"/>
    </w:r>
    <w:r w:rsidR="00B24115">
      <w:instrText xml:space="preserve"> PAGE   \* MERGEFORMAT </w:instrText>
    </w:r>
    <w:r w:rsidR="00B24115">
      <w:rPr>
        <w:rFonts w:eastAsiaTheme="minorEastAsia"/>
      </w:rPr>
      <w:fldChar w:fldCharType="separate"/>
    </w:r>
    <w:r w:rsidR="0019696E" w:rsidRPr="0019696E">
      <w:rPr>
        <w:rFonts w:asciiTheme="majorHAnsi" w:eastAsiaTheme="majorEastAsia" w:hAnsiTheme="majorHAnsi" w:cstheme="majorBidi"/>
        <w:noProof/>
      </w:rPr>
      <w:t>2</w:t>
    </w:r>
    <w:r w:rsidR="00B24115">
      <w:rPr>
        <w:rFonts w:asciiTheme="majorHAnsi" w:eastAsiaTheme="majorEastAsia" w:hAnsiTheme="majorHAnsi" w:cstheme="majorBidi"/>
        <w:noProof/>
      </w:rPr>
      <w:fldChar w:fldCharType="end"/>
    </w:r>
  </w:p>
  <w:p w:rsidR="00B24115" w:rsidRDefault="00B24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115" w:rsidRDefault="00B24115" w:rsidP="00B24115">
      <w:pPr>
        <w:spacing w:after="0" w:line="240" w:lineRule="auto"/>
      </w:pPr>
      <w:r>
        <w:separator/>
      </w:r>
    </w:p>
  </w:footnote>
  <w:footnote w:type="continuationSeparator" w:id="0">
    <w:p w:rsidR="00B24115" w:rsidRDefault="00B24115" w:rsidP="00B24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B73" w:rsidRPr="00B24115" w:rsidRDefault="00AB3B73" w:rsidP="00AB3B73">
    <w:pPr>
      <w:pStyle w:val="Header"/>
      <w:jc w:val="center"/>
      <w:rPr>
        <w:sz w:val="28"/>
      </w:rPr>
    </w:pPr>
    <w:r w:rsidRPr="00B24115">
      <w:rPr>
        <w:sz w:val="28"/>
      </w:rPr>
      <w:t xml:space="preserve">ASCCC Guided Pathways </w:t>
    </w:r>
    <w:r>
      <w:rPr>
        <w:sz w:val="28"/>
      </w:rPr>
      <w:t xml:space="preserve">Task Force Survey given to Local Academic Senate </w:t>
    </w:r>
    <w:r w:rsidRPr="00B24115">
      <w:rPr>
        <w:sz w:val="28"/>
      </w:rPr>
      <w:t>Presidents Spring 2018</w:t>
    </w:r>
  </w:p>
  <w:p w:rsidR="00B24115" w:rsidRPr="00AB3B73" w:rsidRDefault="00B24115" w:rsidP="00AB3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70A6"/>
    <w:multiLevelType w:val="hybridMultilevel"/>
    <w:tmpl w:val="CFA2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D26B9"/>
    <w:multiLevelType w:val="hybridMultilevel"/>
    <w:tmpl w:val="60841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EB20C4"/>
    <w:multiLevelType w:val="hybridMultilevel"/>
    <w:tmpl w:val="FCA60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15"/>
    <w:rsid w:val="000B4122"/>
    <w:rsid w:val="0019696E"/>
    <w:rsid w:val="001E1E93"/>
    <w:rsid w:val="003374BF"/>
    <w:rsid w:val="003E7B4A"/>
    <w:rsid w:val="005111FC"/>
    <w:rsid w:val="00581CE0"/>
    <w:rsid w:val="006B4AE1"/>
    <w:rsid w:val="00827DB0"/>
    <w:rsid w:val="009856DB"/>
    <w:rsid w:val="00A040A6"/>
    <w:rsid w:val="00A250FA"/>
    <w:rsid w:val="00AB3B73"/>
    <w:rsid w:val="00B24115"/>
    <w:rsid w:val="00C852AF"/>
    <w:rsid w:val="00CA11E0"/>
    <w:rsid w:val="00DD3F99"/>
    <w:rsid w:val="00E813D8"/>
    <w:rsid w:val="00E858DF"/>
    <w:rsid w:val="00EF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BA862"/>
  <w15:docId w15:val="{BE112605-650B-4A53-88C3-80323135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3D8"/>
  </w:style>
  <w:style w:type="paragraph" w:styleId="Heading1">
    <w:name w:val="heading 1"/>
    <w:basedOn w:val="Normal"/>
    <w:link w:val="Heading1Char"/>
    <w:uiPriority w:val="9"/>
    <w:qFormat/>
    <w:rsid w:val="00E813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115"/>
  </w:style>
  <w:style w:type="paragraph" w:styleId="Footer">
    <w:name w:val="footer"/>
    <w:basedOn w:val="Normal"/>
    <w:link w:val="FooterChar"/>
    <w:uiPriority w:val="99"/>
    <w:unhideWhenUsed/>
    <w:rsid w:val="00B24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115"/>
  </w:style>
  <w:style w:type="paragraph" w:styleId="BalloonText">
    <w:name w:val="Balloon Text"/>
    <w:basedOn w:val="Normal"/>
    <w:link w:val="BalloonTextChar"/>
    <w:uiPriority w:val="99"/>
    <w:semiHidden/>
    <w:unhideWhenUsed/>
    <w:rsid w:val="00B24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15"/>
    <w:rPr>
      <w:rFonts w:ascii="Tahoma" w:hAnsi="Tahoma" w:cs="Tahoma"/>
      <w:sz w:val="16"/>
      <w:szCs w:val="16"/>
    </w:rPr>
  </w:style>
  <w:style w:type="paragraph" w:styleId="ListParagraph">
    <w:name w:val="List Paragraph"/>
    <w:basedOn w:val="Normal"/>
    <w:uiPriority w:val="34"/>
    <w:qFormat/>
    <w:rsid w:val="00E813D8"/>
    <w:pPr>
      <w:ind w:left="720"/>
      <w:contextualSpacing/>
    </w:pPr>
  </w:style>
  <w:style w:type="character" w:customStyle="1" w:styleId="Heading1Char">
    <w:name w:val="Heading 1 Char"/>
    <w:basedOn w:val="DefaultParagraphFont"/>
    <w:link w:val="Heading1"/>
    <w:uiPriority w:val="9"/>
    <w:rsid w:val="00E813D8"/>
    <w:rPr>
      <w:rFonts w:ascii="Times New Roman" w:eastAsia="Times New Roman" w:hAnsi="Times New Roman" w:cs="Times New Roman"/>
      <w:b/>
      <w:bCs/>
      <w:kern w:val="36"/>
      <w:sz w:val="48"/>
      <w:szCs w:val="48"/>
    </w:rPr>
  </w:style>
  <w:style w:type="table" w:styleId="LightList-Accent2">
    <w:name w:val="Light List Accent 2"/>
    <w:basedOn w:val="TableNormal"/>
    <w:uiPriority w:val="61"/>
    <w:rsid w:val="00581C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19696E"/>
    <w:rPr>
      <w:color w:val="0000FF" w:themeColor="hyperlink"/>
      <w:u w:val="single"/>
    </w:rPr>
  </w:style>
  <w:style w:type="character" w:styleId="UnresolvedMention">
    <w:name w:val="Unresolved Mention"/>
    <w:basedOn w:val="DefaultParagraphFont"/>
    <w:uiPriority w:val="99"/>
    <w:semiHidden/>
    <w:unhideWhenUsed/>
    <w:rsid w:val="001969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c.org/directory/guided-pathways-task-force"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 Fulks</cp:lastModifiedBy>
  <cp:revision>6</cp:revision>
  <cp:lastPrinted>2018-04-02T00:27:00Z</cp:lastPrinted>
  <dcterms:created xsi:type="dcterms:W3CDTF">2018-05-08T22:15:00Z</dcterms:created>
  <dcterms:modified xsi:type="dcterms:W3CDTF">2018-05-08T22:25:00Z</dcterms:modified>
</cp:coreProperties>
</file>