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5B326" w14:textId="77777777" w:rsidR="00A4282D" w:rsidRPr="00C01CA2" w:rsidRDefault="00A31016" w:rsidP="00C01CA2">
      <w:pPr>
        <w:pStyle w:val="Title"/>
        <w:rPr>
          <w:rFonts w:ascii="Palatino Linotype" w:hAnsi="Palatino Linotype"/>
        </w:rPr>
      </w:pPr>
      <w:r w:rsidRPr="00C01CA2">
        <w:rPr>
          <w:rFonts w:ascii="Palatino Linotype" w:hAnsi="Palatino Linotype"/>
          <w:noProof/>
        </w:rPr>
        <w:drawing>
          <wp:anchor distT="0" distB="0" distL="114300" distR="114300" simplePos="0" relativeHeight="251658240" behindDoc="1" locked="0" layoutInCell="1" allowOverlap="1" wp14:anchorId="566475F6" wp14:editId="670E3E0C">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7"/>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0666B052" w14:textId="77777777" w:rsidR="00A4282D" w:rsidRPr="00C01CA2" w:rsidRDefault="00A4282D" w:rsidP="00C01CA2">
      <w:pPr>
        <w:pStyle w:val="Title"/>
        <w:rPr>
          <w:rFonts w:ascii="Palatino Linotype" w:hAnsi="Palatino Linotype"/>
        </w:rPr>
      </w:pPr>
    </w:p>
    <w:p w14:paraId="2C86E267" w14:textId="77777777" w:rsidR="00A4282D" w:rsidRPr="00C01CA2" w:rsidRDefault="00A4282D" w:rsidP="00C01CA2">
      <w:pPr>
        <w:pStyle w:val="Title"/>
        <w:rPr>
          <w:rFonts w:ascii="Palatino Linotype" w:hAnsi="Palatino Linotype"/>
        </w:rPr>
      </w:pPr>
    </w:p>
    <w:p w14:paraId="4DA84E20" w14:textId="77777777" w:rsidR="0080639A" w:rsidRPr="00C01CA2" w:rsidRDefault="0080639A" w:rsidP="00C01CA2">
      <w:pPr>
        <w:pStyle w:val="Title"/>
        <w:ind w:left="0"/>
        <w:rPr>
          <w:rFonts w:ascii="Palatino Linotype" w:hAnsi="Palatino Linotype"/>
        </w:rPr>
      </w:pPr>
    </w:p>
    <w:p w14:paraId="4CCA111E" w14:textId="77777777" w:rsidR="00F720A3" w:rsidRPr="00C01CA2" w:rsidRDefault="00F720A3" w:rsidP="00C01CA2">
      <w:pPr>
        <w:pStyle w:val="Title"/>
        <w:rPr>
          <w:rFonts w:ascii="Palatino Linotype" w:hAnsi="Palatino Linotype"/>
        </w:rPr>
      </w:pPr>
    </w:p>
    <w:p w14:paraId="7EFF9086" w14:textId="77777777" w:rsidR="000210B7" w:rsidRPr="00C01CA2" w:rsidRDefault="00F2465C" w:rsidP="00C01CA2">
      <w:pPr>
        <w:pStyle w:val="Title"/>
        <w:rPr>
          <w:rFonts w:ascii="Palatino Linotype" w:hAnsi="Palatino Linotype"/>
        </w:rPr>
      </w:pPr>
      <w:r w:rsidRPr="00C01CA2">
        <w:rPr>
          <w:rFonts w:ascii="Palatino Linotype" w:hAnsi="Palatino Linotype"/>
        </w:rPr>
        <w:t xml:space="preserve">Equity and Diversity Action </w:t>
      </w:r>
      <w:r w:rsidR="000210B7" w:rsidRPr="00C01CA2">
        <w:rPr>
          <w:rFonts w:ascii="Palatino Linotype" w:hAnsi="Palatino Linotype"/>
        </w:rPr>
        <w:t>Committee Meeting</w:t>
      </w:r>
    </w:p>
    <w:p w14:paraId="2D5862B6" w14:textId="77777777" w:rsidR="0080639A" w:rsidRPr="00C01CA2" w:rsidRDefault="00B80AC4" w:rsidP="00C01CA2">
      <w:pPr>
        <w:pStyle w:val="Title"/>
        <w:rPr>
          <w:rFonts w:ascii="Palatino Linotype" w:hAnsi="Palatino Linotype"/>
          <w:sz w:val="24"/>
          <w:szCs w:val="24"/>
        </w:rPr>
      </w:pPr>
      <w:r w:rsidRPr="00C01CA2">
        <w:rPr>
          <w:rFonts w:ascii="Palatino Linotype" w:hAnsi="Palatino Linotype"/>
          <w:sz w:val="24"/>
          <w:szCs w:val="24"/>
        </w:rPr>
        <w:t>25 October</w:t>
      </w:r>
      <w:r w:rsidR="00F2465C" w:rsidRPr="00C01CA2">
        <w:rPr>
          <w:rFonts w:ascii="Palatino Linotype" w:hAnsi="Palatino Linotype"/>
          <w:sz w:val="24"/>
          <w:szCs w:val="24"/>
        </w:rPr>
        <w:t xml:space="preserve"> </w:t>
      </w:r>
      <w:r w:rsidR="000210B7" w:rsidRPr="00C01CA2">
        <w:rPr>
          <w:rFonts w:ascii="Palatino Linotype" w:hAnsi="Palatino Linotype"/>
          <w:sz w:val="24"/>
          <w:szCs w:val="24"/>
        </w:rPr>
        <w:t>2017, 9-10</w:t>
      </w:r>
      <w:r w:rsidRPr="00C01CA2">
        <w:rPr>
          <w:rFonts w:ascii="Palatino Linotype" w:hAnsi="Palatino Linotype"/>
          <w:sz w:val="24"/>
          <w:szCs w:val="24"/>
        </w:rPr>
        <w:t>:30</w:t>
      </w:r>
      <w:r w:rsidR="000210B7" w:rsidRPr="00C01CA2">
        <w:rPr>
          <w:rFonts w:ascii="Palatino Linotype" w:hAnsi="Palatino Linotype"/>
          <w:sz w:val="24"/>
          <w:szCs w:val="24"/>
        </w:rPr>
        <w:t>am</w:t>
      </w:r>
    </w:p>
    <w:p w14:paraId="32CFA7AD" w14:textId="77777777" w:rsidR="008155B8" w:rsidRPr="00C01CA2" w:rsidRDefault="008155B8" w:rsidP="00C01CA2">
      <w:pPr>
        <w:pStyle w:val="Title"/>
        <w:rPr>
          <w:rFonts w:ascii="Palatino Linotype" w:hAnsi="Palatino Linotype"/>
          <w:sz w:val="24"/>
        </w:rPr>
      </w:pPr>
    </w:p>
    <w:p w14:paraId="63605D3B" w14:textId="77777777" w:rsidR="000210B7" w:rsidRPr="00C01CA2" w:rsidRDefault="000210B7" w:rsidP="00C01CA2">
      <w:pPr>
        <w:pStyle w:val="Title"/>
        <w:rPr>
          <w:rFonts w:ascii="Palatino Linotype" w:hAnsi="Palatino Linotype"/>
          <w:sz w:val="24"/>
          <w:szCs w:val="24"/>
        </w:rPr>
      </w:pPr>
      <w:r w:rsidRPr="00C01CA2">
        <w:rPr>
          <w:rFonts w:ascii="Palatino Linotype" w:hAnsi="Palatino Linotype"/>
          <w:sz w:val="24"/>
          <w:szCs w:val="24"/>
        </w:rPr>
        <w:t>CCC Confer</w:t>
      </w:r>
    </w:p>
    <w:p w14:paraId="02E581EB" w14:textId="77777777" w:rsidR="000210B7" w:rsidRPr="00C01CA2" w:rsidRDefault="000210B7" w:rsidP="00C01CA2">
      <w:pPr>
        <w:ind w:left="2880" w:firstLine="720"/>
        <w:rPr>
          <w:rFonts w:ascii="Palatino Linotype" w:hAnsi="Palatino Linotype"/>
        </w:rPr>
      </w:pPr>
      <w:r w:rsidRPr="00C01CA2">
        <w:rPr>
          <w:rFonts w:ascii="Palatino Linotype" w:hAnsi="Palatino Linotype"/>
          <w:color w:val="000000"/>
        </w:rPr>
        <w:t xml:space="preserve">Participant Passcode: </w:t>
      </w:r>
      <w:r w:rsidR="00B80AC4" w:rsidRPr="00C01CA2">
        <w:rPr>
          <w:rFonts w:ascii="Palatino Linotype" w:hAnsi="Palatino Linotype"/>
          <w:color w:val="000000"/>
        </w:rPr>
        <w:t xml:space="preserve"> 719684</w:t>
      </w:r>
    </w:p>
    <w:p w14:paraId="39B5D3E9" w14:textId="77777777" w:rsidR="000210B7" w:rsidRPr="00C01CA2" w:rsidRDefault="000210B7" w:rsidP="00C01CA2">
      <w:pPr>
        <w:pStyle w:val="Title"/>
        <w:rPr>
          <w:rFonts w:ascii="Palatino Linotype" w:hAnsi="Palatino Linotype"/>
          <w:color w:val="000000"/>
          <w:sz w:val="24"/>
          <w:szCs w:val="24"/>
        </w:rPr>
      </w:pPr>
      <w:r w:rsidRPr="00C01CA2">
        <w:rPr>
          <w:rFonts w:ascii="Palatino Linotype" w:hAnsi="Palatino Linotype"/>
          <w:color w:val="000000"/>
          <w:sz w:val="24"/>
          <w:szCs w:val="24"/>
        </w:rPr>
        <w:t>Toll free number available: 888-450-4821</w:t>
      </w:r>
    </w:p>
    <w:p w14:paraId="0F8F6CB0" w14:textId="77777777" w:rsidR="00C01CA2" w:rsidRPr="00C01CA2" w:rsidRDefault="00C01CA2" w:rsidP="00C01CA2">
      <w:pPr>
        <w:pStyle w:val="Title"/>
        <w:rPr>
          <w:rFonts w:ascii="Palatino Linotype" w:hAnsi="Palatino Linotype"/>
          <w:color w:val="000000"/>
          <w:sz w:val="24"/>
          <w:szCs w:val="24"/>
        </w:rPr>
      </w:pPr>
    </w:p>
    <w:p w14:paraId="0C495AA8" w14:textId="77777777" w:rsidR="000210B7" w:rsidRPr="00C01CA2" w:rsidRDefault="009A3323" w:rsidP="00C01CA2">
      <w:pPr>
        <w:pStyle w:val="Title"/>
        <w:rPr>
          <w:rFonts w:ascii="Palatino Linotype" w:hAnsi="Palatino Linotype"/>
          <w:sz w:val="24"/>
          <w:szCs w:val="24"/>
        </w:rPr>
      </w:pPr>
      <w:r>
        <w:rPr>
          <w:rFonts w:ascii="Palatino Linotype" w:hAnsi="Palatino Linotype"/>
          <w:color w:val="000000"/>
          <w:sz w:val="24"/>
          <w:szCs w:val="24"/>
        </w:rPr>
        <w:t>Minutes</w:t>
      </w:r>
    </w:p>
    <w:p w14:paraId="752793C7" w14:textId="77777777" w:rsidR="00A4282D" w:rsidRPr="00C01CA2" w:rsidRDefault="000E06F1" w:rsidP="00C01CA2">
      <w:pPr>
        <w:pStyle w:val="mainbody"/>
        <w:spacing w:before="0" w:beforeAutospacing="0" w:after="0" w:afterAutospacing="0"/>
        <w:jc w:val="both"/>
        <w:rPr>
          <w:rFonts w:ascii="Palatino Linotype" w:hAnsi="Palatino Linotype"/>
          <w:sz w:val="16"/>
          <w:szCs w:val="20"/>
        </w:rPr>
      </w:pPr>
      <w:r w:rsidRPr="00C01CA2">
        <w:rPr>
          <w:rFonts w:ascii="Palatino Linotype" w:hAnsi="Palatino Linotype"/>
          <w:noProof/>
          <w:sz w:val="20"/>
        </w:rPr>
        <mc:AlternateContent>
          <mc:Choice Requires="wps">
            <w:drawing>
              <wp:anchor distT="0" distB="0" distL="114300" distR="114300" simplePos="0" relativeHeight="251657216" behindDoc="0" locked="0" layoutInCell="1" allowOverlap="1" wp14:anchorId="286F50D7" wp14:editId="517D12F5">
                <wp:simplePos x="0" y="0"/>
                <wp:positionH relativeFrom="column">
                  <wp:posOffset>-685800</wp:posOffset>
                </wp:positionH>
                <wp:positionV relativeFrom="paragraph">
                  <wp:posOffset>19685</wp:posOffset>
                </wp:positionV>
                <wp:extent cx="6477000" cy="0"/>
                <wp:effectExtent l="0" t="0" r="2540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D52EFE4"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55pt" to="45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8p8gEAALQ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" strokeweight="2.25pt"/>
            </w:pict>
          </mc:Fallback>
        </mc:AlternateContent>
      </w:r>
    </w:p>
    <w:p w14:paraId="0A5D34B4" w14:textId="77777777" w:rsidR="00F72F54" w:rsidRPr="00C31D6F" w:rsidRDefault="0080639A" w:rsidP="00F72F54">
      <w:pPr>
        <w:numPr>
          <w:ilvl w:val="0"/>
          <w:numId w:val="7"/>
        </w:numPr>
        <w:rPr>
          <w:rFonts w:ascii="Palatino Linotype" w:hAnsi="Palatino Linotype"/>
          <w:b/>
        </w:rPr>
      </w:pPr>
      <w:r w:rsidRPr="00C01CA2">
        <w:rPr>
          <w:rFonts w:ascii="Palatino Linotype" w:hAnsi="Palatino Linotype"/>
        </w:rPr>
        <w:t>Call to Order</w:t>
      </w:r>
      <w:r w:rsidR="00F72F54">
        <w:rPr>
          <w:rFonts w:ascii="Palatino Linotype" w:hAnsi="Palatino Linotype"/>
        </w:rPr>
        <w:t xml:space="preserve"> </w:t>
      </w:r>
      <w:r w:rsidR="00F72F54" w:rsidRPr="00C31D6F">
        <w:rPr>
          <w:rFonts w:ascii="Palatino Linotype" w:hAnsi="Palatino Linotype"/>
          <w:b/>
        </w:rPr>
        <w:t>(9:05 AM)</w:t>
      </w:r>
    </w:p>
    <w:p w14:paraId="34BB9729" w14:textId="77777777" w:rsidR="00C31D6F" w:rsidRDefault="00C31D6F" w:rsidP="00F72F54">
      <w:pPr>
        <w:ind w:left="1080"/>
        <w:rPr>
          <w:rFonts w:ascii="Palatino Linotype" w:hAnsi="Palatino Linotype"/>
        </w:rPr>
      </w:pPr>
    </w:p>
    <w:p w14:paraId="1BA2DB76" w14:textId="77777777" w:rsidR="00F72F54" w:rsidRPr="00C31D6F" w:rsidRDefault="00F72F54" w:rsidP="00C31D6F">
      <w:pPr>
        <w:ind w:left="720"/>
        <w:rPr>
          <w:rFonts w:ascii="Palatino Linotype" w:hAnsi="Palatino Linotype"/>
          <w:b/>
        </w:rPr>
      </w:pPr>
      <w:r w:rsidRPr="00C31D6F">
        <w:rPr>
          <w:rFonts w:ascii="Palatino Linotype" w:hAnsi="Palatino Linotype"/>
          <w:b/>
        </w:rPr>
        <w:t xml:space="preserve">Present: Dolores Davison; Sam Foster; Orlando Shannon; Michael J. </w:t>
      </w:r>
      <w:proofErr w:type="spellStart"/>
      <w:r w:rsidRPr="00C31D6F">
        <w:rPr>
          <w:rFonts w:ascii="Palatino Linotype" w:hAnsi="Palatino Linotype"/>
          <w:b/>
        </w:rPr>
        <w:t>Wyly</w:t>
      </w:r>
      <w:proofErr w:type="spellEnd"/>
      <w:r w:rsidR="00F720A3" w:rsidRPr="00C31D6F">
        <w:rPr>
          <w:rFonts w:ascii="Palatino Linotype" w:hAnsi="Palatino Linotype"/>
          <w:b/>
        </w:rPr>
        <w:br/>
      </w:r>
    </w:p>
    <w:p w14:paraId="51C9EFFE" w14:textId="77777777" w:rsidR="00234883" w:rsidRPr="00C01CA2" w:rsidRDefault="00F720A3" w:rsidP="00412492">
      <w:pPr>
        <w:numPr>
          <w:ilvl w:val="0"/>
          <w:numId w:val="7"/>
        </w:numPr>
        <w:jc w:val="both"/>
        <w:rPr>
          <w:rFonts w:ascii="Palatino Linotype" w:hAnsi="Palatino Linotype"/>
        </w:rPr>
      </w:pPr>
      <w:r w:rsidRPr="00C01CA2">
        <w:rPr>
          <w:rFonts w:ascii="Palatino Linotype" w:hAnsi="Palatino Linotype"/>
        </w:rPr>
        <w:t>Topics</w:t>
      </w:r>
      <w:r w:rsidR="000210B7" w:rsidRPr="00C01CA2">
        <w:rPr>
          <w:rFonts w:ascii="Palatino Linotype" w:hAnsi="Palatino Linotype"/>
        </w:rPr>
        <w:t xml:space="preserve"> </w:t>
      </w:r>
      <w:r w:rsidR="00B80AC4" w:rsidRPr="00C01CA2">
        <w:rPr>
          <w:rFonts w:ascii="Palatino Linotype" w:hAnsi="Palatino Linotype"/>
        </w:rPr>
        <w:t>– Action Items</w:t>
      </w:r>
    </w:p>
    <w:p w14:paraId="4B08D0F8" w14:textId="77777777" w:rsidR="00357C94" w:rsidRPr="00C01CA2" w:rsidRDefault="00357C94" w:rsidP="004B7445">
      <w:pPr>
        <w:numPr>
          <w:ilvl w:val="1"/>
          <w:numId w:val="7"/>
        </w:numPr>
        <w:jc w:val="both"/>
        <w:rPr>
          <w:rFonts w:ascii="Palatino Linotype" w:hAnsi="Palatino Linotype"/>
        </w:rPr>
      </w:pPr>
      <w:r w:rsidRPr="00C01CA2">
        <w:rPr>
          <w:rFonts w:ascii="Palatino Linotype" w:hAnsi="Palatino Linotype"/>
        </w:rPr>
        <w:t>ED</w:t>
      </w:r>
      <w:r w:rsidR="004B7445" w:rsidRPr="00C01CA2">
        <w:rPr>
          <w:rFonts w:ascii="Palatino Linotype" w:hAnsi="Palatino Linotype"/>
        </w:rPr>
        <w:t>AC Regionals on Civil Discourse – 27-28 October 2017</w:t>
      </w:r>
    </w:p>
    <w:p w14:paraId="2C4590F0" w14:textId="77777777" w:rsidR="002D3B80" w:rsidRPr="00C01CA2" w:rsidRDefault="002D3B80" w:rsidP="00B80AC4">
      <w:pPr>
        <w:numPr>
          <w:ilvl w:val="2"/>
          <w:numId w:val="7"/>
        </w:numPr>
        <w:jc w:val="both"/>
        <w:rPr>
          <w:rFonts w:ascii="Palatino Linotype" w:hAnsi="Palatino Linotype"/>
        </w:rPr>
      </w:pPr>
      <w:r w:rsidRPr="00C01CA2">
        <w:rPr>
          <w:rFonts w:ascii="Palatino Linotype" w:hAnsi="Palatino Linotype"/>
        </w:rPr>
        <w:t xml:space="preserve">Breakout session </w:t>
      </w:r>
      <w:r w:rsidR="00B80AC4" w:rsidRPr="00C01CA2">
        <w:rPr>
          <w:rFonts w:ascii="Palatino Linotype" w:hAnsi="Palatino Linotype"/>
        </w:rPr>
        <w:t>structure</w:t>
      </w:r>
    </w:p>
    <w:p w14:paraId="03D60EAC" w14:textId="77777777" w:rsidR="00B80AC4" w:rsidRPr="00C01CA2" w:rsidRDefault="00B80AC4" w:rsidP="00B80AC4">
      <w:pPr>
        <w:numPr>
          <w:ilvl w:val="3"/>
          <w:numId w:val="7"/>
        </w:numPr>
        <w:jc w:val="both"/>
        <w:rPr>
          <w:rFonts w:ascii="Palatino Linotype" w:hAnsi="Palatino Linotype"/>
        </w:rPr>
      </w:pPr>
      <w:r w:rsidRPr="00C01CA2">
        <w:rPr>
          <w:rFonts w:ascii="Palatino Linotype" w:hAnsi="Palatino Linotype"/>
        </w:rPr>
        <w:t>North</w:t>
      </w:r>
    </w:p>
    <w:p w14:paraId="45FD9AE6" w14:textId="77777777" w:rsidR="00B80AC4" w:rsidRPr="00C01CA2" w:rsidRDefault="00B80AC4" w:rsidP="00B80AC4">
      <w:pPr>
        <w:numPr>
          <w:ilvl w:val="3"/>
          <w:numId w:val="7"/>
        </w:numPr>
        <w:jc w:val="both"/>
        <w:rPr>
          <w:rFonts w:ascii="Palatino Linotype" w:hAnsi="Palatino Linotype"/>
        </w:rPr>
      </w:pPr>
      <w:r w:rsidRPr="00C01CA2">
        <w:rPr>
          <w:rFonts w:ascii="Palatino Linotype" w:hAnsi="Palatino Linotype"/>
        </w:rPr>
        <w:t>South</w:t>
      </w:r>
    </w:p>
    <w:p w14:paraId="2D2C4F29" w14:textId="77777777" w:rsidR="000210B7" w:rsidRPr="00C01CA2" w:rsidRDefault="002D3B80" w:rsidP="00B80AC4">
      <w:pPr>
        <w:numPr>
          <w:ilvl w:val="2"/>
          <w:numId w:val="7"/>
        </w:numPr>
        <w:jc w:val="both"/>
        <w:rPr>
          <w:rFonts w:ascii="Palatino Linotype" w:hAnsi="Palatino Linotype"/>
        </w:rPr>
      </w:pPr>
      <w:r w:rsidRPr="00C01CA2">
        <w:rPr>
          <w:rFonts w:ascii="Palatino Linotype" w:hAnsi="Palatino Linotype"/>
        </w:rPr>
        <w:t xml:space="preserve">Other </w:t>
      </w:r>
      <w:r w:rsidR="00B80AC4" w:rsidRPr="00C01CA2">
        <w:rPr>
          <w:rFonts w:ascii="Palatino Linotype" w:hAnsi="Palatino Linotype"/>
        </w:rPr>
        <w:t xml:space="preserve">comments </w:t>
      </w:r>
      <w:r w:rsidRPr="00C01CA2">
        <w:rPr>
          <w:rFonts w:ascii="Palatino Linotype" w:hAnsi="Palatino Linotype"/>
        </w:rPr>
        <w:t>for general sessions</w:t>
      </w:r>
    </w:p>
    <w:p w14:paraId="17E59710" w14:textId="77777777" w:rsidR="00F72F54" w:rsidRDefault="00B80AC4" w:rsidP="00F72F54">
      <w:pPr>
        <w:numPr>
          <w:ilvl w:val="2"/>
          <w:numId w:val="7"/>
        </w:numPr>
        <w:jc w:val="both"/>
        <w:rPr>
          <w:rFonts w:ascii="Palatino Linotype" w:hAnsi="Palatino Linotype"/>
        </w:rPr>
      </w:pPr>
      <w:r w:rsidRPr="00C01CA2">
        <w:rPr>
          <w:rFonts w:ascii="Palatino Linotype" w:hAnsi="Palatino Linotype"/>
        </w:rPr>
        <w:t>Roles of committee</w:t>
      </w:r>
    </w:p>
    <w:p w14:paraId="5DE0F902" w14:textId="77777777" w:rsidR="00F72F54" w:rsidRDefault="00F72F54" w:rsidP="00F72F54">
      <w:pPr>
        <w:ind w:left="2160"/>
        <w:jc w:val="both"/>
        <w:rPr>
          <w:rFonts w:ascii="Palatino Linotype" w:hAnsi="Palatino Linotype"/>
        </w:rPr>
      </w:pPr>
    </w:p>
    <w:p w14:paraId="1ABDA469" w14:textId="77777777" w:rsidR="00B80AC4" w:rsidRPr="00C31D6F" w:rsidRDefault="00F72F54" w:rsidP="00C31D6F">
      <w:pPr>
        <w:ind w:left="720"/>
        <w:jc w:val="both"/>
        <w:rPr>
          <w:rFonts w:ascii="Palatino Linotype" w:hAnsi="Palatino Linotype"/>
          <w:b/>
        </w:rPr>
      </w:pPr>
      <w:r w:rsidRPr="00C31D6F">
        <w:rPr>
          <w:rFonts w:ascii="Palatino Linotype" w:hAnsi="Palatino Linotype"/>
          <w:b/>
        </w:rPr>
        <w:t>Registration numbers are low for both regionals. Dolores secured permission for use of the area mailing lists to increase awareness of the EDAC regionals. Numbers have increased although still modest. As a</w:t>
      </w:r>
      <w:r w:rsidR="00E91235" w:rsidRPr="00C31D6F">
        <w:rPr>
          <w:rFonts w:ascii="Palatino Linotype" w:hAnsi="Palatino Linotype"/>
          <w:b/>
        </w:rPr>
        <w:t xml:space="preserve"> result, agreed to combine breakouts into general sessions. </w:t>
      </w:r>
    </w:p>
    <w:p w14:paraId="78590C16" w14:textId="77777777" w:rsidR="00E91235" w:rsidRPr="00C31D6F" w:rsidRDefault="00E91235" w:rsidP="00C31D6F">
      <w:pPr>
        <w:ind w:left="720"/>
        <w:jc w:val="both"/>
        <w:rPr>
          <w:rFonts w:ascii="Palatino Linotype" w:hAnsi="Palatino Linotype"/>
          <w:b/>
        </w:rPr>
      </w:pPr>
    </w:p>
    <w:p w14:paraId="0B318DD3" w14:textId="77777777" w:rsidR="00E91235" w:rsidRPr="00C31D6F" w:rsidRDefault="00A645A4" w:rsidP="00C31D6F">
      <w:pPr>
        <w:ind w:left="720"/>
        <w:jc w:val="both"/>
        <w:rPr>
          <w:rFonts w:ascii="Palatino Linotype" w:hAnsi="Palatino Linotype"/>
          <w:b/>
        </w:rPr>
      </w:pPr>
      <w:r w:rsidRPr="00C31D6F">
        <w:rPr>
          <w:rFonts w:ascii="Palatino Linotype" w:hAnsi="Palatino Linotype"/>
          <w:b/>
        </w:rPr>
        <w:t>Regionals (North) to have: an introduction and welcome, including the identification of goals/outcomes for the day (10-10:30); steps colleges can take for DACA students (10:30-11); ASCCC and DACA (11-Noon). The afternoon sessions for the North</w:t>
      </w:r>
      <w:r w:rsidR="000052C6" w:rsidRPr="00C31D6F">
        <w:rPr>
          <w:rFonts w:ascii="Palatino Linotype" w:hAnsi="Palatino Linotype"/>
          <w:b/>
        </w:rPr>
        <w:t xml:space="preserve"> and South</w:t>
      </w:r>
      <w:r w:rsidRPr="00C31D6F">
        <w:rPr>
          <w:rFonts w:ascii="Palatino Linotype" w:hAnsi="Palatino Linotype"/>
          <w:b/>
        </w:rPr>
        <w:t xml:space="preserve"> to include afternoon session 1 </w:t>
      </w:r>
      <w:r w:rsidR="000052C6" w:rsidRPr="00C31D6F">
        <w:rPr>
          <w:rFonts w:ascii="Palatino Linotype" w:hAnsi="Palatino Linotype"/>
          <w:b/>
        </w:rPr>
        <w:t xml:space="preserve">(12:40-1:30) </w:t>
      </w:r>
      <w:r w:rsidRPr="00C31D6F">
        <w:rPr>
          <w:rFonts w:ascii="Palatino Linotype" w:hAnsi="Palatino Linotype"/>
          <w:b/>
        </w:rPr>
        <w:t>on curriculum and equity</w:t>
      </w:r>
      <w:r w:rsidR="000052C6" w:rsidRPr="00C31D6F">
        <w:rPr>
          <w:rFonts w:ascii="Palatino Linotype" w:hAnsi="Palatino Linotype"/>
          <w:b/>
        </w:rPr>
        <w:t xml:space="preserve"> and session 2 (1:30-2:25) on social justice and civic engagement. </w:t>
      </w:r>
    </w:p>
    <w:p w14:paraId="071A8570" w14:textId="77777777" w:rsidR="00E91235" w:rsidRPr="00C01CA2" w:rsidRDefault="00E91235" w:rsidP="00B80AC4">
      <w:pPr>
        <w:ind w:left="2160"/>
        <w:jc w:val="both"/>
        <w:rPr>
          <w:rFonts w:ascii="Palatino Linotype" w:hAnsi="Palatino Linotype"/>
        </w:rPr>
      </w:pPr>
    </w:p>
    <w:p w14:paraId="1F7DCC7E" w14:textId="77777777" w:rsidR="00B80AC4" w:rsidRPr="00C01CA2" w:rsidRDefault="004B7445" w:rsidP="00B80AC4">
      <w:pPr>
        <w:numPr>
          <w:ilvl w:val="0"/>
          <w:numId w:val="7"/>
        </w:numPr>
        <w:rPr>
          <w:rFonts w:ascii="Palatino Linotype" w:hAnsi="Palatino Linotype"/>
        </w:rPr>
      </w:pPr>
      <w:r w:rsidRPr="00C01CA2">
        <w:rPr>
          <w:rFonts w:ascii="Palatino Linotype" w:hAnsi="Palatino Linotype"/>
        </w:rPr>
        <w:t xml:space="preserve">Other </w:t>
      </w:r>
      <w:r w:rsidR="00B80AC4" w:rsidRPr="00C01CA2">
        <w:rPr>
          <w:rFonts w:ascii="Palatino Linotype" w:hAnsi="Palatino Linotype"/>
        </w:rPr>
        <w:t>EDAC Responsibilities</w:t>
      </w:r>
    </w:p>
    <w:p w14:paraId="381AB718" w14:textId="77777777" w:rsidR="00A23904" w:rsidRDefault="00A23904" w:rsidP="00B80AC4">
      <w:pPr>
        <w:numPr>
          <w:ilvl w:val="1"/>
          <w:numId w:val="7"/>
        </w:numPr>
        <w:rPr>
          <w:rFonts w:ascii="Palatino Linotype" w:hAnsi="Palatino Linotype"/>
        </w:rPr>
      </w:pPr>
      <w:r w:rsidRPr="00C01CA2">
        <w:rPr>
          <w:rFonts w:ascii="Palatino Linotype" w:hAnsi="Palatino Linotype"/>
        </w:rPr>
        <w:t>Revision of p</w:t>
      </w:r>
      <w:r w:rsidR="00B80AC4" w:rsidRPr="00C01CA2">
        <w:rPr>
          <w:rFonts w:ascii="Palatino Linotype" w:hAnsi="Palatino Linotype"/>
        </w:rPr>
        <w:t>aper on faculty hiring processes outline at Exec for first read next week</w:t>
      </w:r>
    </w:p>
    <w:p w14:paraId="73EEEBD5" w14:textId="77777777" w:rsidR="000052C6" w:rsidRDefault="000052C6" w:rsidP="000052C6">
      <w:pPr>
        <w:ind w:left="1440"/>
        <w:rPr>
          <w:rFonts w:ascii="Palatino Linotype" w:hAnsi="Palatino Linotype"/>
        </w:rPr>
      </w:pPr>
    </w:p>
    <w:p w14:paraId="2FDA3B99" w14:textId="77777777" w:rsidR="000052C6" w:rsidRPr="00C31D6F" w:rsidRDefault="000052C6" w:rsidP="00C31D6F">
      <w:pPr>
        <w:pStyle w:val="ListParagraph"/>
        <w:rPr>
          <w:rFonts w:ascii="Palatino Linotype" w:hAnsi="Palatino Linotype"/>
          <w:b/>
        </w:rPr>
      </w:pPr>
      <w:r w:rsidRPr="00C31D6F">
        <w:rPr>
          <w:rFonts w:ascii="Palatino Linotype" w:hAnsi="Palatino Linotype"/>
          <w:b/>
        </w:rPr>
        <w:t xml:space="preserve">Outline for paper revision is on the agenda for the next Executive Committee meeting of ASCCC for input. Once approved, EDAC will commence with the paper revision. Deadline in mid-January to be ready for submission to first meeting of </w:t>
      </w:r>
      <w:r w:rsidR="00C31D6F">
        <w:rPr>
          <w:rFonts w:ascii="Palatino Linotype" w:hAnsi="Palatino Linotype"/>
          <w:b/>
        </w:rPr>
        <w:lastRenderedPageBreak/>
        <w:t xml:space="preserve">ASCCC </w:t>
      </w:r>
      <w:r w:rsidRPr="00C31D6F">
        <w:rPr>
          <w:rFonts w:ascii="Palatino Linotype" w:hAnsi="Palatino Linotype"/>
          <w:b/>
        </w:rPr>
        <w:t xml:space="preserve">Executive </w:t>
      </w:r>
      <w:r w:rsidR="00C31D6F">
        <w:rPr>
          <w:rFonts w:ascii="Palatino Linotype" w:hAnsi="Palatino Linotype"/>
          <w:b/>
        </w:rPr>
        <w:t>C</w:t>
      </w:r>
      <w:r w:rsidRPr="00C31D6F">
        <w:rPr>
          <w:rFonts w:ascii="Palatino Linotype" w:hAnsi="Palatino Linotype"/>
          <w:b/>
        </w:rPr>
        <w:t>ommittee in February</w:t>
      </w:r>
      <w:r w:rsidR="00C31D6F">
        <w:rPr>
          <w:rFonts w:ascii="Palatino Linotype" w:hAnsi="Palatino Linotype"/>
          <w:b/>
        </w:rPr>
        <w:t xml:space="preserve"> 2017 to be ready for 2018 Spring Plenary.</w:t>
      </w:r>
    </w:p>
    <w:p w14:paraId="622D21BD" w14:textId="77777777" w:rsidR="000052C6" w:rsidRPr="00C01CA2" w:rsidRDefault="000052C6" w:rsidP="000052C6">
      <w:pPr>
        <w:ind w:left="1440"/>
        <w:rPr>
          <w:rFonts w:ascii="Palatino Linotype" w:hAnsi="Palatino Linotype"/>
        </w:rPr>
      </w:pPr>
    </w:p>
    <w:p w14:paraId="78744299" w14:textId="77777777" w:rsidR="0023784F" w:rsidRDefault="00B80AC4" w:rsidP="00B80AC4">
      <w:pPr>
        <w:pStyle w:val="ListParagraph"/>
        <w:numPr>
          <w:ilvl w:val="1"/>
          <w:numId w:val="7"/>
        </w:numPr>
        <w:rPr>
          <w:rFonts w:ascii="Palatino Linotype" w:hAnsi="Palatino Linotype"/>
        </w:rPr>
      </w:pPr>
      <w:r w:rsidRPr="00C01CA2">
        <w:rPr>
          <w:rFonts w:ascii="Palatino Linotype" w:hAnsi="Palatino Linotype"/>
        </w:rPr>
        <w:t xml:space="preserve">EDAC breakout at plenary </w:t>
      </w:r>
    </w:p>
    <w:p w14:paraId="1F2BD9DA" w14:textId="77777777" w:rsidR="000052C6" w:rsidRDefault="000052C6" w:rsidP="000052C6">
      <w:pPr>
        <w:pStyle w:val="ListParagraph"/>
        <w:ind w:left="1440"/>
        <w:rPr>
          <w:rFonts w:ascii="Palatino Linotype" w:hAnsi="Palatino Linotype"/>
        </w:rPr>
      </w:pPr>
    </w:p>
    <w:p w14:paraId="705133D1" w14:textId="77777777" w:rsidR="000052C6" w:rsidRPr="00C31D6F" w:rsidRDefault="000052C6" w:rsidP="00C31D6F">
      <w:pPr>
        <w:pStyle w:val="ListParagraph"/>
        <w:rPr>
          <w:rFonts w:ascii="Palatino Linotype" w:hAnsi="Palatino Linotype"/>
          <w:b/>
        </w:rPr>
      </w:pPr>
      <w:r w:rsidRPr="00C31D6F">
        <w:rPr>
          <w:rFonts w:ascii="Palatino Linotype" w:hAnsi="Palatino Linotype"/>
          <w:b/>
        </w:rPr>
        <w:t>Dolores, Michael and Orlando to present at plenary. Presentation to include a recap of the regionals, as well as to create opportunities for dialogue and input from the field.</w:t>
      </w:r>
    </w:p>
    <w:p w14:paraId="763DDEE5" w14:textId="77777777" w:rsidR="000052C6" w:rsidRPr="00C01CA2" w:rsidRDefault="000052C6" w:rsidP="000052C6">
      <w:pPr>
        <w:pStyle w:val="ListParagraph"/>
        <w:ind w:left="1440"/>
        <w:rPr>
          <w:rFonts w:ascii="Palatino Linotype" w:hAnsi="Palatino Linotype"/>
        </w:rPr>
      </w:pPr>
    </w:p>
    <w:p w14:paraId="3E9CEEB4" w14:textId="77777777" w:rsidR="00B80AC4" w:rsidRDefault="00B80AC4" w:rsidP="00B80AC4">
      <w:pPr>
        <w:pStyle w:val="ListParagraph"/>
        <w:numPr>
          <w:ilvl w:val="1"/>
          <w:numId w:val="7"/>
        </w:numPr>
        <w:rPr>
          <w:rFonts w:ascii="Palatino Linotype" w:hAnsi="Palatino Linotype"/>
        </w:rPr>
      </w:pPr>
      <w:r w:rsidRPr="00C01CA2">
        <w:rPr>
          <w:rFonts w:ascii="Palatino Linotype" w:hAnsi="Palatino Linotype"/>
        </w:rPr>
        <w:t>DACA Resource Page</w:t>
      </w:r>
    </w:p>
    <w:p w14:paraId="257E3E71" w14:textId="77777777" w:rsidR="000052C6" w:rsidRDefault="000052C6" w:rsidP="000052C6">
      <w:pPr>
        <w:pStyle w:val="ListParagraph"/>
        <w:ind w:left="1440"/>
        <w:rPr>
          <w:rFonts w:ascii="Palatino Linotype" w:hAnsi="Palatino Linotype"/>
        </w:rPr>
      </w:pPr>
    </w:p>
    <w:p w14:paraId="772E40BA" w14:textId="77777777" w:rsidR="000052C6" w:rsidRPr="00C31D6F" w:rsidRDefault="000052C6" w:rsidP="00C31D6F">
      <w:pPr>
        <w:pStyle w:val="ListParagraph"/>
        <w:rPr>
          <w:rFonts w:ascii="Palatino Linotype" w:hAnsi="Palatino Linotype"/>
          <w:b/>
        </w:rPr>
      </w:pPr>
      <w:r w:rsidRPr="00C31D6F">
        <w:rPr>
          <w:rFonts w:ascii="Palatino Linotype" w:hAnsi="Palatino Linotype"/>
          <w:b/>
        </w:rPr>
        <w:t xml:space="preserve">DACA materials submitted to the ASCCC for inclusion on the webpage. </w:t>
      </w:r>
      <w:r w:rsidR="00C31D6F">
        <w:rPr>
          <w:rFonts w:ascii="Palatino Linotype" w:hAnsi="Palatino Linotype"/>
          <w:b/>
        </w:rPr>
        <w:t xml:space="preserve">Dolores to inquire as to the status of the page’s development. </w:t>
      </w:r>
    </w:p>
    <w:p w14:paraId="44760AF1" w14:textId="77777777" w:rsidR="00B80AC4" w:rsidRDefault="00B80AC4" w:rsidP="00B80AC4">
      <w:pPr>
        <w:pStyle w:val="ListParagraph"/>
        <w:ind w:left="1440"/>
        <w:rPr>
          <w:rFonts w:ascii="Palatino Linotype" w:hAnsi="Palatino Linotype"/>
        </w:rPr>
      </w:pPr>
    </w:p>
    <w:p w14:paraId="7F8EA4A0" w14:textId="77777777" w:rsidR="000052C6" w:rsidRPr="00C01CA2" w:rsidRDefault="000052C6" w:rsidP="00B80AC4">
      <w:pPr>
        <w:pStyle w:val="ListParagraph"/>
        <w:ind w:left="1440"/>
        <w:rPr>
          <w:rFonts w:ascii="Palatino Linotype" w:hAnsi="Palatino Linotype"/>
        </w:rPr>
      </w:pPr>
    </w:p>
    <w:p w14:paraId="1E4E8F9A" w14:textId="77777777" w:rsidR="00563C02" w:rsidRDefault="0023784F" w:rsidP="00563C02">
      <w:pPr>
        <w:numPr>
          <w:ilvl w:val="0"/>
          <w:numId w:val="7"/>
        </w:numPr>
        <w:rPr>
          <w:rFonts w:ascii="Palatino Linotype" w:hAnsi="Palatino Linotype"/>
        </w:rPr>
      </w:pPr>
      <w:r w:rsidRPr="00C01CA2">
        <w:rPr>
          <w:rFonts w:ascii="Palatino Linotype" w:hAnsi="Palatino Linotype"/>
        </w:rPr>
        <w:t xml:space="preserve">Other Items for Discussion </w:t>
      </w:r>
    </w:p>
    <w:p w14:paraId="46E7DBFD" w14:textId="77777777" w:rsidR="000052C6" w:rsidRDefault="000052C6" w:rsidP="000052C6">
      <w:pPr>
        <w:ind w:left="1080"/>
        <w:rPr>
          <w:rFonts w:ascii="Palatino Linotype" w:hAnsi="Palatino Linotype"/>
        </w:rPr>
      </w:pPr>
    </w:p>
    <w:p w14:paraId="47EF58F8" w14:textId="2971D92D" w:rsidR="000052C6" w:rsidRPr="00C31D6F" w:rsidRDefault="000052C6" w:rsidP="00C31D6F">
      <w:pPr>
        <w:ind w:left="720"/>
        <w:rPr>
          <w:rFonts w:ascii="Palatino Linotype" w:hAnsi="Palatino Linotype"/>
          <w:b/>
        </w:rPr>
      </w:pPr>
      <w:r w:rsidRPr="00C31D6F">
        <w:rPr>
          <w:rFonts w:ascii="Palatino Linotype" w:hAnsi="Palatino Linotype"/>
          <w:b/>
        </w:rPr>
        <w:t>TASSC has been assigned, per resolution, to w</w:t>
      </w:r>
      <w:r w:rsidR="00395B87">
        <w:rPr>
          <w:rFonts w:ascii="Palatino Linotype" w:hAnsi="Palatino Linotype"/>
          <w:b/>
        </w:rPr>
        <w:t>ork with the CCCCO to develop lo</w:t>
      </w:r>
      <w:bookmarkStart w:id="0" w:name="_GoBack"/>
      <w:bookmarkEnd w:id="0"/>
      <w:r w:rsidRPr="00C31D6F">
        <w:rPr>
          <w:rFonts w:ascii="Palatino Linotype" w:hAnsi="Palatino Linotype"/>
          <w:b/>
        </w:rPr>
        <w:t xml:space="preserve">ng-range plans for increase of services for disenfranchised students. TASSC feels that the resolution is not feasible </w:t>
      </w:r>
      <w:r w:rsidR="0018111E" w:rsidRPr="00C31D6F">
        <w:rPr>
          <w:rFonts w:ascii="Palatino Linotype" w:hAnsi="Palatino Linotype"/>
          <w:b/>
        </w:rPr>
        <w:t>due to complexity of the equity landscape</w:t>
      </w:r>
      <w:r w:rsidR="00127B79" w:rsidRPr="00C31D6F">
        <w:rPr>
          <w:rFonts w:ascii="Palatino Linotype" w:hAnsi="Palatino Linotype"/>
          <w:b/>
        </w:rPr>
        <w:t>: the committee believes that the resolution is not feasible or necessary for several reasons, including the broad scope, difficulties working with the CCCCO, lack of a clear definition of disenfranchised students, and the extensive local work occurring through local equity plans/planning</w:t>
      </w:r>
      <w:r w:rsidR="0018111E" w:rsidRPr="00C31D6F">
        <w:rPr>
          <w:rFonts w:ascii="Palatino Linotype" w:hAnsi="Palatino Linotype"/>
          <w:b/>
        </w:rPr>
        <w:t xml:space="preserve">. </w:t>
      </w:r>
      <w:r w:rsidR="00127B79" w:rsidRPr="00C31D6F">
        <w:rPr>
          <w:rFonts w:ascii="Palatino Linotype" w:hAnsi="Palatino Linotype"/>
          <w:b/>
        </w:rPr>
        <w:t>TASSC recommends instead</w:t>
      </w:r>
      <w:r w:rsidR="0018111E" w:rsidRPr="00C31D6F">
        <w:rPr>
          <w:rFonts w:ascii="Palatino Linotype" w:hAnsi="Palatino Linotype"/>
          <w:b/>
        </w:rPr>
        <w:t xml:space="preserve"> looking at the revision of the 2002 paper, “Student Equity Guidelines for Developing a Plan,” to i</w:t>
      </w:r>
      <w:r w:rsidR="00127B79" w:rsidRPr="00C31D6F">
        <w:rPr>
          <w:rFonts w:ascii="Palatino Linotype" w:hAnsi="Palatino Linotype"/>
          <w:b/>
        </w:rPr>
        <w:t>nclude how to address the varied</w:t>
      </w:r>
      <w:r w:rsidR="0018111E" w:rsidRPr="00C31D6F">
        <w:rPr>
          <w:rFonts w:ascii="Palatino Linotype" w:hAnsi="Palatino Linotype"/>
          <w:b/>
        </w:rPr>
        <w:t xml:space="preserve"> needs/support for disenfranchised students. </w:t>
      </w:r>
      <w:r w:rsidR="00127B79" w:rsidRPr="00C31D6F">
        <w:rPr>
          <w:rFonts w:ascii="Palatino Linotype" w:hAnsi="Palatino Linotype"/>
          <w:b/>
        </w:rPr>
        <w:t xml:space="preserve">Recommendation includes a joint resolution by EDAC/TASSC to present these recommendations to the body at 2017 Fall Plenary. </w:t>
      </w:r>
      <w:r w:rsidR="003779C3" w:rsidRPr="00C31D6F">
        <w:rPr>
          <w:rFonts w:ascii="Palatino Linotype" w:hAnsi="Palatino Linotype"/>
          <w:b/>
        </w:rPr>
        <w:t xml:space="preserve">EDAC suggests that the paper inform colleges in light of recent trends (e.g. integration of student success and equity planning) without diminishing its relevance in anticipation of future trends and/or equity needs. </w:t>
      </w:r>
    </w:p>
    <w:p w14:paraId="4434F6B0" w14:textId="77777777" w:rsidR="0023784F" w:rsidRPr="00C01CA2" w:rsidRDefault="0023784F" w:rsidP="00B80AC4">
      <w:pPr>
        <w:rPr>
          <w:rFonts w:ascii="Palatino Linotype" w:hAnsi="Palatino Linotype"/>
        </w:rPr>
      </w:pPr>
    </w:p>
    <w:p w14:paraId="3EE89A8D" w14:textId="77777777" w:rsidR="0023784F" w:rsidRPr="00C01CA2" w:rsidRDefault="0023784F" w:rsidP="0023784F">
      <w:pPr>
        <w:numPr>
          <w:ilvl w:val="0"/>
          <w:numId w:val="7"/>
        </w:numPr>
        <w:rPr>
          <w:rFonts w:ascii="Palatino Linotype" w:hAnsi="Palatino Linotype"/>
        </w:rPr>
      </w:pPr>
      <w:r w:rsidRPr="00C01CA2">
        <w:rPr>
          <w:rFonts w:ascii="Palatino Linotype" w:hAnsi="Palatino Linotype"/>
        </w:rPr>
        <w:t>Announcements/Events</w:t>
      </w:r>
    </w:p>
    <w:p w14:paraId="7C7DDA2D" w14:textId="77777777" w:rsidR="0091370D" w:rsidRPr="00C01CA2" w:rsidRDefault="0091370D" w:rsidP="0091370D">
      <w:pPr>
        <w:numPr>
          <w:ilvl w:val="1"/>
          <w:numId w:val="7"/>
        </w:numPr>
        <w:rPr>
          <w:rFonts w:ascii="Palatino Linotype" w:hAnsi="Palatino Linotype"/>
        </w:rPr>
      </w:pPr>
      <w:r w:rsidRPr="00C01CA2">
        <w:rPr>
          <w:rFonts w:ascii="Palatino Linotype" w:hAnsi="Palatino Linotype"/>
        </w:rPr>
        <w:t>Fall Plenary Session – 2-4 November, Irvine Marriott</w:t>
      </w:r>
    </w:p>
    <w:p w14:paraId="0327F114" w14:textId="77777777" w:rsidR="00B80AC4" w:rsidRPr="00C01CA2" w:rsidRDefault="00B80AC4" w:rsidP="0091370D">
      <w:pPr>
        <w:numPr>
          <w:ilvl w:val="1"/>
          <w:numId w:val="7"/>
        </w:numPr>
        <w:rPr>
          <w:rFonts w:ascii="Palatino Linotype" w:hAnsi="Palatino Linotype"/>
        </w:rPr>
      </w:pPr>
      <w:r w:rsidRPr="00C01CA2">
        <w:rPr>
          <w:rFonts w:ascii="Palatino Linotype" w:hAnsi="Palatino Linotype"/>
        </w:rPr>
        <w:t>17-18, Curriculum Regionals, Folsom Lake College and Long Beach City College</w:t>
      </w:r>
    </w:p>
    <w:p w14:paraId="2E584224" w14:textId="77777777" w:rsidR="00B80AC4" w:rsidRPr="00C01CA2" w:rsidRDefault="00B80AC4" w:rsidP="0091370D">
      <w:pPr>
        <w:numPr>
          <w:ilvl w:val="1"/>
          <w:numId w:val="7"/>
        </w:numPr>
        <w:rPr>
          <w:rFonts w:ascii="Palatino Linotype" w:hAnsi="Palatino Linotype"/>
        </w:rPr>
      </w:pPr>
      <w:r w:rsidRPr="00C01CA2">
        <w:rPr>
          <w:rFonts w:ascii="Palatino Linotype" w:hAnsi="Palatino Linotype"/>
        </w:rPr>
        <w:t xml:space="preserve">1-2 December, Executive Committee meeting, Sacramento </w:t>
      </w:r>
    </w:p>
    <w:p w14:paraId="0AEE2990" w14:textId="77777777" w:rsidR="0023784F" w:rsidRPr="00C01CA2" w:rsidRDefault="0023784F" w:rsidP="0023784F">
      <w:pPr>
        <w:rPr>
          <w:rFonts w:ascii="Palatino Linotype" w:hAnsi="Palatino Linotype"/>
        </w:rPr>
      </w:pPr>
    </w:p>
    <w:p w14:paraId="6DBD328E" w14:textId="77777777" w:rsidR="00A4282D" w:rsidRPr="00C01CA2" w:rsidRDefault="0023784F" w:rsidP="0023784F">
      <w:pPr>
        <w:numPr>
          <w:ilvl w:val="0"/>
          <w:numId w:val="7"/>
        </w:numPr>
        <w:rPr>
          <w:rFonts w:ascii="Palatino Linotype" w:hAnsi="Palatino Linotype"/>
        </w:rPr>
      </w:pPr>
      <w:r w:rsidRPr="00C01CA2">
        <w:rPr>
          <w:rFonts w:ascii="Palatino Linotype" w:hAnsi="Palatino Linotype"/>
        </w:rPr>
        <w:t>A</w:t>
      </w:r>
      <w:r w:rsidR="0080639A" w:rsidRPr="00C01CA2">
        <w:rPr>
          <w:rFonts w:ascii="Palatino Linotype" w:hAnsi="Palatino Linotype"/>
        </w:rPr>
        <w:t>djournment</w:t>
      </w:r>
      <w:r w:rsidR="00B423C2" w:rsidRPr="00C01CA2">
        <w:rPr>
          <w:rFonts w:ascii="Palatino Linotype" w:hAnsi="Palatino Linotype"/>
        </w:rPr>
        <w:t xml:space="preserve"> </w:t>
      </w:r>
      <w:r w:rsidR="00C31D6F" w:rsidRPr="00C31D6F">
        <w:rPr>
          <w:rFonts w:ascii="Palatino Linotype" w:hAnsi="Palatino Linotype"/>
          <w:b/>
        </w:rPr>
        <w:t>(10:00 AM)</w:t>
      </w:r>
    </w:p>
    <w:p w14:paraId="0E49691A" w14:textId="77777777" w:rsidR="00F720A3" w:rsidRPr="00C01CA2" w:rsidRDefault="00F720A3" w:rsidP="002B186E">
      <w:pPr>
        <w:jc w:val="center"/>
        <w:rPr>
          <w:rFonts w:ascii="Palatino Linotype" w:hAnsi="Palatino Linotype"/>
          <w:b/>
        </w:rPr>
      </w:pPr>
    </w:p>
    <w:p w14:paraId="3151B322" w14:textId="77777777" w:rsidR="00B375FE" w:rsidRPr="00C01CA2" w:rsidRDefault="00B375FE" w:rsidP="00B375FE">
      <w:pPr>
        <w:pStyle w:val="ListParagraph"/>
        <w:rPr>
          <w:rFonts w:ascii="Palatino Linotype" w:hAnsi="Palatino Linotype"/>
          <w:color w:val="000000" w:themeColor="text1"/>
        </w:rPr>
      </w:pPr>
    </w:p>
    <w:p w14:paraId="2651EB08" w14:textId="77777777" w:rsidR="00FC2DB4" w:rsidRPr="00C01CA2" w:rsidRDefault="00FC2DB4" w:rsidP="00FC2DB4">
      <w:pPr>
        <w:pStyle w:val="ListParagraph"/>
        <w:rPr>
          <w:rFonts w:ascii="Palatino Linotype" w:hAnsi="Palatino Linotype"/>
          <w:b/>
        </w:rPr>
      </w:pPr>
    </w:p>
    <w:p w14:paraId="2FB256EB" w14:textId="77777777" w:rsidR="0028248C" w:rsidRPr="00C01CA2" w:rsidRDefault="0028248C" w:rsidP="0028248C">
      <w:pPr>
        <w:pStyle w:val="ListParagraph"/>
        <w:rPr>
          <w:rFonts w:ascii="Palatino Linotype" w:hAnsi="Palatino Linotype"/>
          <w:b/>
          <w:color w:val="000000" w:themeColor="text1"/>
        </w:rPr>
      </w:pPr>
    </w:p>
    <w:p w14:paraId="67BD3402" w14:textId="77777777" w:rsidR="004B62D3" w:rsidRPr="00C01CA2" w:rsidRDefault="004B62D3" w:rsidP="004B62D3">
      <w:pPr>
        <w:pStyle w:val="ListParagraph"/>
        <w:rPr>
          <w:rFonts w:ascii="Palatino Linotype" w:hAnsi="Palatino Linotype"/>
          <w:b/>
          <w:color w:val="000000" w:themeColor="text1"/>
        </w:rPr>
      </w:pPr>
    </w:p>
    <w:p w14:paraId="60812B3C" w14:textId="77777777" w:rsidR="004B62D3" w:rsidRPr="00600A30" w:rsidRDefault="004B62D3" w:rsidP="004B62D3">
      <w:pPr>
        <w:rPr>
          <w:rFonts w:asciiTheme="majorHAnsi" w:hAnsiTheme="majorHAnsi"/>
          <w:color w:val="000000" w:themeColor="text1"/>
          <w:u w:val="single"/>
        </w:rPr>
      </w:pPr>
    </w:p>
    <w:sectPr w:rsidR="004B62D3" w:rsidRPr="00600A30" w:rsidSect="00A74A5F">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7A63F" w14:textId="77777777" w:rsidR="0038501D" w:rsidRDefault="0038501D">
      <w:r>
        <w:separator/>
      </w:r>
    </w:p>
  </w:endnote>
  <w:endnote w:type="continuationSeparator" w:id="0">
    <w:p w14:paraId="569133D9" w14:textId="77777777" w:rsidR="0038501D" w:rsidRDefault="00385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F38A1" w14:textId="77777777" w:rsidR="0038501D" w:rsidRDefault="0038501D">
      <w:r>
        <w:separator/>
      </w:r>
    </w:p>
  </w:footnote>
  <w:footnote w:type="continuationSeparator" w:id="0">
    <w:p w14:paraId="5043E89E" w14:textId="77777777" w:rsidR="0038501D" w:rsidRDefault="003850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nsid w:val="08DB5DEE"/>
    <w:multiLevelType w:val="hybridMultilevel"/>
    <w:tmpl w:val="B6C2DB1C"/>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56F448F8">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7">
    <w:nsid w:val="4EE91104"/>
    <w:multiLevelType w:val="hybridMultilevel"/>
    <w:tmpl w:val="0C58F0AA"/>
    <w:lvl w:ilvl="0" w:tplc="DF24121C">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0">
    <w:nsid w:val="621C095C"/>
    <w:multiLevelType w:val="hybridMultilevel"/>
    <w:tmpl w:val="5C72E1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11"/>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num>
  <w:num w:numId="5">
    <w:abstractNumId w:val="2"/>
  </w:num>
  <w:num w:numId="6">
    <w:abstractNumId w:val="9"/>
  </w:num>
  <w:num w:numId="7">
    <w:abstractNumId w:val="3"/>
  </w:num>
  <w:num w:numId="8">
    <w:abstractNumId w:val="4"/>
  </w:num>
  <w:num w:numId="9">
    <w:abstractNumId w:val="5"/>
  </w:num>
  <w:num w:numId="10">
    <w:abstractNumId w:val="8"/>
  </w:num>
  <w:num w:numId="11">
    <w:abstractNumId w:val="7"/>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07B"/>
    <w:rsid w:val="000052C6"/>
    <w:rsid w:val="0001045F"/>
    <w:rsid w:val="00011A0E"/>
    <w:rsid w:val="000210B7"/>
    <w:rsid w:val="00022D3A"/>
    <w:rsid w:val="00035A84"/>
    <w:rsid w:val="00036445"/>
    <w:rsid w:val="00042A4E"/>
    <w:rsid w:val="00054173"/>
    <w:rsid w:val="0006307F"/>
    <w:rsid w:val="00082EE9"/>
    <w:rsid w:val="00092652"/>
    <w:rsid w:val="00095961"/>
    <w:rsid w:val="000A020D"/>
    <w:rsid w:val="000A0815"/>
    <w:rsid w:val="000A10E5"/>
    <w:rsid w:val="000A632A"/>
    <w:rsid w:val="000A657A"/>
    <w:rsid w:val="000B2CFD"/>
    <w:rsid w:val="000B690E"/>
    <w:rsid w:val="000C088C"/>
    <w:rsid w:val="000C489F"/>
    <w:rsid w:val="000C5A9C"/>
    <w:rsid w:val="000D4729"/>
    <w:rsid w:val="000D6A81"/>
    <w:rsid w:val="000E06F1"/>
    <w:rsid w:val="000E47C1"/>
    <w:rsid w:val="000F18D3"/>
    <w:rsid w:val="00100899"/>
    <w:rsid w:val="00105D15"/>
    <w:rsid w:val="001132AF"/>
    <w:rsid w:val="001159E8"/>
    <w:rsid w:val="00124670"/>
    <w:rsid w:val="001247C0"/>
    <w:rsid w:val="00124D85"/>
    <w:rsid w:val="00127B79"/>
    <w:rsid w:val="0015435F"/>
    <w:rsid w:val="00163DB3"/>
    <w:rsid w:val="0016495D"/>
    <w:rsid w:val="0018111E"/>
    <w:rsid w:val="001822F7"/>
    <w:rsid w:val="00194DC3"/>
    <w:rsid w:val="001A774F"/>
    <w:rsid w:val="001B0A38"/>
    <w:rsid w:val="001B27EE"/>
    <w:rsid w:val="001B40DA"/>
    <w:rsid w:val="001D7C43"/>
    <w:rsid w:val="001E0589"/>
    <w:rsid w:val="001E639C"/>
    <w:rsid w:val="001E7E29"/>
    <w:rsid w:val="001F1FD5"/>
    <w:rsid w:val="002319B6"/>
    <w:rsid w:val="002326FE"/>
    <w:rsid w:val="00234883"/>
    <w:rsid w:val="0023784F"/>
    <w:rsid w:val="00237F1D"/>
    <w:rsid w:val="00245F77"/>
    <w:rsid w:val="0025302B"/>
    <w:rsid w:val="00262D6F"/>
    <w:rsid w:val="00266257"/>
    <w:rsid w:val="00275083"/>
    <w:rsid w:val="0028248C"/>
    <w:rsid w:val="00292212"/>
    <w:rsid w:val="002A195F"/>
    <w:rsid w:val="002A29C4"/>
    <w:rsid w:val="002B186E"/>
    <w:rsid w:val="002B3AAE"/>
    <w:rsid w:val="002B67DA"/>
    <w:rsid w:val="002C4552"/>
    <w:rsid w:val="002D3B80"/>
    <w:rsid w:val="002E3585"/>
    <w:rsid w:val="002F6055"/>
    <w:rsid w:val="00300EA5"/>
    <w:rsid w:val="00312BAB"/>
    <w:rsid w:val="0031428C"/>
    <w:rsid w:val="003149F9"/>
    <w:rsid w:val="003231E8"/>
    <w:rsid w:val="003569D0"/>
    <w:rsid w:val="00357C94"/>
    <w:rsid w:val="0036640B"/>
    <w:rsid w:val="003779C3"/>
    <w:rsid w:val="00377AB5"/>
    <w:rsid w:val="00377EEC"/>
    <w:rsid w:val="0038501D"/>
    <w:rsid w:val="003906EA"/>
    <w:rsid w:val="00395567"/>
    <w:rsid w:val="00395B87"/>
    <w:rsid w:val="003A0C05"/>
    <w:rsid w:val="003A0ED0"/>
    <w:rsid w:val="003B1721"/>
    <w:rsid w:val="003B4DEB"/>
    <w:rsid w:val="003C2286"/>
    <w:rsid w:val="003F35E5"/>
    <w:rsid w:val="003F479C"/>
    <w:rsid w:val="003F6559"/>
    <w:rsid w:val="004063AF"/>
    <w:rsid w:val="00412492"/>
    <w:rsid w:val="004131DA"/>
    <w:rsid w:val="004134D1"/>
    <w:rsid w:val="0041367C"/>
    <w:rsid w:val="00413AB7"/>
    <w:rsid w:val="0041406C"/>
    <w:rsid w:val="00414ACE"/>
    <w:rsid w:val="0043778F"/>
    <w:rsid w:val="00441A58"/>
    <w:rsid w:val="00442F00"/>
    <w:rsid w:val="004502C2"/>
    <w:rsid w:val="0045174E"/>
    <w:rsid w:val="00453D01"/>
    <w:rsid w:val="00470EC5"/>
    <w:rsid w:val="0047605E"/>
    <w:rsid w:val="004760E5"/>
    <w:rsid w:val="00477966"/>
    <w:rsid w:val="00485806"/>
    <w:rsid w:val="00496071"/>
    <w:rsid w:val="004A78CF"/>
    <w:rsid w:val="004B62D3"/>
    <w:rsid w:val="004B7445"/>
    <w:rsid w:val="004C19D9"/>
    <w:rsid w:val="004D348B"/>
    <w:rsid w:val="004F2105"/>
    <w:rsid w:val="004F61F7"/>
    <w:rsid w:val="00511299"/>
    <w:rsid w:val="00511863"/>
    <w:rsid w:val="00540608"/>
    <w:rsid w:val="00543566"/>
    <w:rsid w:val="00546DCC"/>
    <w:rsid w:val="005522F9"/>
    <w:rsid w:val="00563C02"/>
    <w:rsid w:val="00566EEC"/>
    <w:rsid w:val="00567026"/>
    <w:rsid w:val="00571557"/>
    <w:rsid w:val="00576C85"/>
    <w:rsid w:val="00582ACA"/>
    <w:rsid w:val="00585CCB"/>
    <w:rsid w:val="0059095D"/>
    <w:rsid w:val="005949BB"/>
    <w:rsid w:val="005A36BF"/>
    <w:rsid w:val="005A5B69"/>
    <w:rsid w:val="005B44A8"/>
    <w:rsid w:val="005D31DD"/>
    <w:rsid w:val="005D3EBD"/>
    <w:rsid w:val="005D5030"/>
    <w:rsid w:val="005D5088"/>
    <w:rsid w:val="005F0B4E"/>
    <w:rsid w:val="005F4210"/>
    <w:rsid w:val="00600A30"/>
    <w:rsid w:val="00605397"/>
    <w:rsid w:val="006109EF"/>
    <w:rsid w:val="006152C5"/>
    <w:rsid w:val="00616C94"/>
    <w:rsid w:val="00625747"/>
    <w:rsid w:val="00626D22"/>
    <w:rsid w:val="0064085C"/>
    <w:rsid w:val="00641B80"/>
    <w:rsid w:val="00657C17"/>
    <w:rsid w:val="00676C02"/>
    <w:rsid w:val="00680931"/>
    <w:rsid w:val="00680F12"/>
    <w:rsid w:val="00685FB0"/>
    <w:rsid w:val="006B7636"/>
    <w:rsid w:val="006C2E8F"/>
    <w:rsid w:val="006D2259"/>
    <w:rsid w:val="006E3AB7"/>
    <w:rsid w:val="006F0751"/>
    <w:rsid w:val="006F5E43"/>
    <w:rsid w:val="006F7A01"/>
    <w:rsid w:val="00704DB2"/>
    <w:rsid w:val="00707D8F"/>
    <w:rsid w:val="007106F1"/>
    <w:rsid w:val="00722839"/>
    <w:rsid w:val="00755F42"/>
    <w:rsid w:val="0076476B"/>
    <w:rsid w:val="00766A2C"/>
    <w:rsid w:val="0078283E"/>
    <w:rsid w:val="00795B77"/>
    <w:rsid w:val="007A4E19"/>
    <w:rsid w:val="007A508F"/>
    <w:rsid w:val="007C33F7"/>
    <w:rsid w:val="007D7370"/>
    <w:rsid w:val="007E234E"/>
    <w:rsid w:val="007E5957"/>
    <w:rsid w:val="007E5F64"/>
    <w:rsid w:val="007E726A"/>
    <w:rsid w:val="007F33CC"/>
    <w:rsid w:val="008008D8"/>
    <w:rsid w:val="0080639A"/>
    <w:rsid w:val="00807047"/>
    <w:rsid w:val="00811F2C"/>
    <w:rsid w:val="00813FC1"/>
    <w:rsid w:val="008155B8"/>
    <w:rsid w:val="008277E1"/>
    <w:rsid w:val="00832E63"/>
    <w:rsid w:val="008424DA"/>
    <w:rsid w:val="00866025"/>
    <w:rsid w:val="0086620C"/>
    <w:rsid w:val="00883F01"/>
    <w:rsid w:val="008872A7"/>
    <w:rsid w:val="00887816"/>
    <w:rsid w:val="0089012F"/>
    <w:rsid w:val="00890FA7"/>
    <w:rsid w:val="0089187D"/>
    <w:rsid w:val="00896C6D"/>
    <w:rsid w:val="008A04CE"/>
    <w:rsid w:val="008B3068"/>
    <w:rsid w:val="008D18A1"/>
    <w:rsid w:val="008D6CF3"/>
    <w:rsid w:val="008F05AF"/>
    <w:rsid w:val="009077E0"/>
    <w:rsid w:val="00911052"/>
    <w:rsid w:val="0091370D"/>
    <w:rsid w:val="00934695"/>
    <w:rsid w:val="00940548"/>
    <w:rsid w:val="00963F3A"/>
    <w:rsid w:val="0096544C"/>
    <w:rsid w:val="009704F7"/>
    <w:rsid w:val="00972BFD"/>
    <w:rsid w:val="00981907"/>
    <w:rsid w:val="00982004"/>
    <w:rsid w:val="009A05A5"/>
    <w:rsid w:val="009A22D2"/>
    <w:rsid w:val="009A3323"/>
    <w:rsid w:val="009B267B"/>
    <w:rsid w:val="009B50A5"/>
    <w:rsid w:val="009C3528"/>
    <w:rsid w:val="009C447E"/>
    <w:rsid w:val="009C7D14"/>
    <w:rsid w:val="009D1878"/>
    <w:rsid w:val="009E000D"/>
    <w:rsid w:val="009E3BA2"/>
    <w:rsid w:val="009E4622"/>
    <w:rsid w:val="009E7C40"/>
    <w:rsid w:val="009F1F58"/>
    <w:rsid w:val="009F705D"/>
    <w:rsid w:val="00A10E07"/>
    <w:rsid w:val="00A1506E"/>
    <w:rsid w:val="00A16838"/>
    <w:rsid w:val="00A2164F"/>
    <w:rsid w:val="00A227F5"/>
    <w:rsid w:val="00A23904"/>
    <w:rsid w:val="00A31016"/>
    <w:rsid w:val="00A406B3"/>
    <w:rsid w:val="00A4282D"/>
    <w:rsid w:val="00A4726F"/>
    <w:rsid w:val="00A51F23"/>
    <w:rsid w:val="00A5607B"/>
    <w:rsid w:val="00A645A4"/>
    <w:rsid w:val="00A70D9F"/>
    <w:rsid w:val="00A72929"/>
    <w:rsid w:val="00A74A5F"/>
    <w:rsid w:val="00A80BBD"/>
    <w:rsid w:val="00A81849"/>
    <w:rsid w:val="00A8343E"/>
    <w:rsid w:val="00A95AA4"/>
    <w:rsid w:val="00A95B48"/>
    <w:rsid w:val="00A97541"/>
    <w:rsid w:val="00AB4172"/>
    <w:rsid w:val="00AB5874"/>
    <w:rsid w:val="00AC1CDE"/>
    <w:rsid w:val="00AC2B84"/>
    <w:rsid w:val="00AC4CDB"/>
    <w:rsid w:val="00AD175B"/>
    <w:rsid w:val="00AD18BC"/>
    <w:rsid w:val="00AD7B9C"/>
    <w:rsid w:val="00AE43CB"/>
    <w:rsid w:val="00AE58D9"/>
    <w:rsid w:val="00AF0632"/>
    <w:rsid w:val="00AF323E"/>
    <w:rsid w:val="00AF4B7B"/>
    <w:rsid w:val="00B205A7"/>
    <w:rsid w:val="00B2479A"/>
    <w:rsid w:val="00B271EC"/>
    <w:rsid w:val="00B3476C"/>
    <w:rsid w:val="00B3687B"/>
    <w:rsid w:val="00B375FE"/>
    <w:rsid w:val="00B415A5"/>
    <w:rsid w:val="00B42127"/>
    <w:rsid w:val="00B423C2"/>
    <w:rsid w:val="00B52298"/>
    <w:rsid w:val="00B611A3"/>
    <w:rsid w:val="00B661B8"/>
    <w:rsid w:val="00B6743D"/>
    <w:rsid w:val="00B749EB"/>
    <w:rsid w:val="00B77215"/>
    <w:rsid w:val="00B80AC4"/>
    <w:rsid w:val="00B80DD2"/>
    <w:rsid w:val="00B82474"/>
    <w:rsid w:val="00B9175A"/>
    <w:rsid w:val="00BA3FA7"/>
    <w:rsid w:val="00BB1643"/>
    <w:rsid w:val="00BB22B9"/>
    <w:rsid w:val="00BB29EC"/>
    <w:rsid w:val="00BB591C"/>
    <w:rsid w:val="00BB64DB"/>
    <w:rsid w:val="00BD48DB"/>
    <w:rsid w:val="00BE033E"/>
    <w:rsid w:val="00BE2C02"/>
    <w:rsid w:val="00BE4EE6"/>
    <w:rsid w:val="00BF4083"/>
    <w:rsid w:val="00BF737A"/>
    <w:rsid w:val="00C01CA2"/>
    <w:rsid w:val="00C14311"/>
    <w:rsid w:val="00C15B93"/>
    <w:rsid w:val="00C23EB9"/>
    <w:rsid w:val="00C30DA0"/>
    <w:rsid w:val="00C31D6F"/>
    <w:rsid w:val="00C335C5"/>
    <w:rsid w:val="00C353C1"/>
    <w:rsid w:val="00C456F4"/>
    <w:rsid w:val="00C57760"/>
    <w:rsid w:val="00C63087"/>
    <w:rsid w:val="00C64805"/>
    <w:rsid w:val="00C66635"/>
    <w:rsid w:val="00C73120"/>
    <w:rsid w:val="00C826F0"/>
    <w:rsid w:val="00C866E0"/>
    <w:rsid w:val="00C87B23"/>
    <w:rsid w:val="00C91790"/>
    <w:rsid w:val="00C91BE8"/>
    <w:rsid w:val="00C91CF2"/>
    <w:rsid w:val="00C93984"/>
    <w:rsid w:val="00C97969"/>
    <w:rsid w:val="00CA4EE2"/>
    <w:rsid w:val="00CB1401"/>
    <w:rsid w:val="00CC51C6"/>
    <w:rsid w:val="00CC70C1"/>
    <w:rsid w:val="00CD67AB"/>
    <w:rsid w:val="00CE384E"/>
    <w:rsid w:val="00CF24FD"/>
    <w:rsid w:val="00D0721D"/>
    <w:rsid w:val="00D17423"/>
    <w:rsid w:val="00D35D57"/>
    <w:rsid w:val="00D5145D"/>
    <w:rsid w:val="00D51F95"/>
    <w:rsid w:val="00D55C94"/>
    <w:rsid w:val="00D60100"/>
    <w:rsid w:val="00D66C18"/>
    <w:rsid w:val="00D67206"/>
    <w:rsid w:val="00D8129E"/>
    <w:rsid w:val="00D846F6"/>
    <w:rsid w:val="00DB0849"/>
    <w:rsid w:val="00DB6CF4"/>
    <w:rsid w:val="00DC1F1E"/>
    <w:rsid w:val="00DD7980"/>
    <w:rsid w:val="00DE4CDF"/>
    <w:rsid w:val="00DF2D65"/>
    <w:rsid w:val="00DF7075"/>
    <w:rsid w:val="00E00793"/>
    <w:rsid w:val="00E0243D"/>
    <w:rsid w:val="00E045CF"/>
    <w:rsid w:val="00E06EBD"/>
    <w:rsid w:val="00E36DB1"/>
    <w:rsid w:val="00E4601B"/>
    <w:rsid w:val="00E46238"/>
    <w:rsid w:val="00E50FE0"/>
    <w:rsid w:val="00E602BE"/>
    <w:rsid w:val="00E72867"/>
    <w:rsid w:val="00E732F6"/>
    <w:rsid w:val="00E91235"/>
    <w:rsid w:val="00E96BA1"/>
    <w:rsid w:val="00EA186D"/>
    <w:rsid w:val="00EA7D8F"/>
    <w:rsid w:val="00EB1794"/>
    <w:rsid w:val="00EC13FF"/>
    <w:rsid w:val="00EE3588"/>
    <w:rsid w:val="00EE6E4B"/>
    <w:rsid w:val="00EF090D"/>
    <w:rsid w:val="00F04ACE"/>
    <w:rsid w:val="00F06415"/>
    <w:rsid w:val="00F206E2"/>
    <w:rsid w:val="00F2465C"/>
    <w:rsid w:val="00F26730"/>
    <w:rsid w:val="00F326B1"/>
    <w:rsid w:val="00F44F73"/>
    <w:rsid w:val="00F46907"/>
    <w:rsid w:val="00F46B04"/>
    <w:rsid w:val="00F579BF"/>
    <w:rsid w:val="00F62AFF"/>
    <w:rsid w:val="00F720A3"/>
    <w:rsid w:val="00F7256F"/>
    <w:rsid w:val="00F72F54"/>
    <w:rsid w:val="00F81EBE"/>
    <w:rsid w:val="00F839C8"/>
    <w:rsid w:val="00F86E3B"/>
    <w:rsid w:val="00F86FC5"/>
    <w:rsid w:val="00F94100"/>
    <w:rsid w:val="00FB3D1B"/>
    <w:rsid w:val="00FC2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35CA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647591164">
      <w:bodyDiv w:val="1"/>
      <w:marLeft w:val="0"/>
      <w:marRight w:val="0"/>
      <w:marTop w:val="0"/>
      <w:marBottom w:val="0"/>
      <w:divBdr>
        <w:top w:val="none" w:sz="0" w:space="0" w:color="auto"/>
        <w:left w:val="none" w:sz="0" w:space="0" w:color="auto"/>
        <w:bottom w:val="none" w:sz="0" w:space="0" w:color="auto"/>
        <w:right w:val="none" w:sz="0" w:space="0" w:color="auto"/>
      </w:divBdr>
    </w:div>
    <w:div w:id="723916202">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999692269">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11804355">
      <w:bodyDiv w:val="1"/>
      <w:marLeft w:val="0"/>
      <w:marRight w:val="0"/>
      <w:marTop w:val="0"/>
      <w:marBottom w:val="0"/>
      <w:divBdr>
        <w:top w:val="none" w:sz="0" w:space="0" w:color="auto"/>
        <w:left w:val="none" w:sz="0" w:space="0" w:color="auto"/>
        <w:bottom w:val="none" w:sz="0" w:space="0" w:color="auto"/>
        <w:right w:val="none" w:sz="0" w:space="0" w:color="auto"/>
      </w:divBdr>
      <w:divsChild>
        <w:div w:id="1592467541">
          <w:marLeft w:val="0"/>
          <w:marRight w:val="0"/>
          <w:marTop w:val="280"/>
          <w:marBottom w:val="280"/>
          <w:divBdr>
            <w:top w:val="none" w:sz="0" w:space="0" w:color="auto"/>
            <w:left w:val="none" w:sz="0" w:space="0" w:color="auto"/>
            <w:bottom w:val="none" w:sz="0" w:space="0" w:color="auto"/>
            <w:right w:val="none" w:sz="0" w:space="0" w:color="auto"/>
          </w:divBdr>
        </w:div>
        <w:div w:id="1547449447">
          <w:marLeft w:val="0"/>
          <w:marRight w:val="0"/>
          <w:marTop w:val="280"/>
          <w:marBottom w:val="280"/>
          <w:divBdr>
            <w:top w:val="none" w:sz="0" w:space="0" w:color="auto"/>
            <w:left w:val="none" w:sz="0" w:space="0" w:color="auto"/>
            <w:bottom w:val="none" w:sz="0" w:space="0" w:color="auto"/>
            <w:right w:val="none" w:sz="0" w:space="0" w:color="auto"/>
          </w:divBdr>
        </w:div>
      </w:divsChild>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481</Words>
  <Characters>2744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3219</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Dolores Davison</cp:lastModifiedBy>
  <cp:revision>4</cp:revision>
  <cp:lastPrinted>2017-04-13T00:50:00Z</cp:lastPrinted>
  <dcterms:created xsi:type="dcterms:W3CDTF">2017-10-26T00:50:00Z</dcterms:created>
  <dcterms:modified xsi:type="dcterms:W3CDTF">2017-10-26T17:15:00Z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