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80437" w14:textId="77777777" w:rsidR="00CE7578" w:rsidRPr="00C22055" w:rsidRDefault="00CE7578" w:rsidP="00CE757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T</w:t>
      </w:r>
      <w:r w:rsidRPr="00C22055">
        <w:rPr>
          <w:b/>
          <w:sz w:val="32"/>
          <w:szCs w:val="28"/>
        </w:rPr>
        <w:t>ask Force on Workforce</w:t>
      </w:r>
      <w:r>
        <w:rPr>
          <w:b/>
          <w:sz w:val="32"/>
          <w:szCs w:val="28"/>
        </w:rPr>
        <w:t>, Job Creation and a Strong Economy</w:t>
      </w:r>
    </w:p>
    <w:p w14:paraId="1FD24A92" w14:textId="3760A0D6" w:rsidR="00CE7578" w:rsidRDefault="00CE7578" w:rsidP="00481605">
      <w:pPr>
        <w:jc w:val="center"/>
        <w:rPr>
          <w:b/>
          <w:sz w:val="32"/>
          <w:szCs w:val="28"/>
        </w:rPr>
      </w:pPr>
      <w:r w:rsidRPr="00C22055">
        <w:rPr>
          <w:b/>
          <w:sz w:val="32"/>
          <w:szCs w:val="28"/>
        </w:rPr>
        <w:t xml:space="preserve">Regional </w:t>
      </w:r>
      <w:r w:rsidR="00A62371">
        <w:rPr>
          <w:b/>
          <w:sz w:val="32"/>
          <w:szCs w:val="28"/>
        </w:rPr>
        <w:t>Facu</w:t>
      </w:r>
      <w:r w:rsidR="00E149A4">
        <w:rPr>
          <w:b/>
          <w:sz w:val="32"/>
          <w:szCs w:val="28"/>
        </w:rPr>
        <w:t>lt</w:t>
      </w:r>
      <w:r w:rsidR="00A62371">
        <w:rPr>
          <w:b/>
          <w:sz w:val="32"/>
          <w:szCs w:val="28"/>
        </w:rPr>
        <w:t>y</w:t>
      </w:r>
      <w:r w:rsidRPr="00C22055">
        <w:rPr>
          <w:b/>
          <w:sz w:val="32"/>
          <w:szCs w:val="28"/>
        </w:rPr>
        <w:t xml:space="preserve"> Conversations</w:t>
      </w:r>
    </w:p>
    <w:p w14:paraId="39D0E160" w14:textId="7E9EA963" w:rsidR="00C42622" w:rsidRPr="00C42622" w:rsidRDefault="00C42622" w:rsidP="00481605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Preliminary Program </w:t>
      </w:r>
      <w:bookmarkStart w:id="0" w:name="_GoBack"/>
      <w:bookmarkEnd w:id="0"/>
    </w:p>
    <w:p w14:paraId="61839310" w14:textId="77777777" w:rsidR="00CE7578" w:rsidRDefault="00CE7578" w:rsidP="00CE7578">
      <w:pPr>
        <w:rPr>
          <w:b/>
          <w:sz w:val="28"/>
          <w:szCs w:val="28"/>
        </w:rPr>
      </w:pPr>
    </w:p>
    <w:p w14:paraId="0FADA65B" w14:textId="77777777" w:rsidR="00CE7578" w:rsidRPr="00481605" w:rsidRDefault="00CE7578" w:rsidP="00CE7578">
      <w:pPr>
        <w:rPr>
          <w:b/>
        </w:rPr>
      </w:pPr>
      <w:r w:rsidRPr="00481605">
        <w:rPr>
          <w:b/>
        </w:rPr>
        <w:t>Goal:</w:t>
      </w:r>
    </w:p>
    <w:p w14:paraId="13D3A6DC" w14:textId="316EAE23" w:rsidR="00A62371" w:rsidRPr="00481605" w:rsidRDefault="00CE7578" w:rsidP="00CE7578">
      <w:pPr>
        <w:numPr>
          <w:ilvl w:val="0"/>
          <w:numId w:val="1"/>
        </w:numPr>
      </w:pPr>
      <w:r w:rsidRPr="00481605">
        <w:rPr>
          <w:b/>
        </w:rPr>
        <w:t xml:space="preserve">Identify </w:t>
      </w:r>
      <w:r w:rsidR="00A62371" w:rsidRPr="00481605">
        <w:rPr>
          <w:b/>
        </w:rPr>
        <w:t xml:space="preserve">concerns and provide </w:t>
      </w:r>
      <w:r w:rsidR="00402270">
        <w:rPr>
          <w:b/>
        </w:rPr>
        <w:t xml:space="preserve">prioritized </w:t>
      </w:r>
      <w:r w:rsidRPr="00481605">
        <w:rPr>
          <w:b/>
        </w:rPr>
        <w:t xml:space="preserve">recommendations </w:t>
      </w:r>
      <w:r w:rsidR="00A62371" w:rsidRPr="00481605">
        <w:rPr>
          <w:b/>
        </w:rPr>
        <w:t xml:space="preserve">to </w:t>
      </w:r>
      <w:r w:rsidR="009569A4" w:rsidRPr="00481605">
        <w:rPr>
          <w:b/>
        </w:rPr>
        <w:t>improve</w:t>
      </w:r>
      <w:r w:rsidR="0001025A" w:rsidRPr="00481605">
        <w:rPr>
          <w:b/>
        </w:rPr>
        <w:t xml:space="preserve"> the practices, processes</w:t>
      </w:r>
      <w:r w:rsidR="009569A4" w:rsidRPr="00481605">
        <w:rPr>
          <w:b/>
        </w:rPr>
        <w:t>,</w:t>
      </w:r>
      <w:r w:rsidR="0001025A" w:rsidRPr="00481605">
        <w:rPr>
          <w:b/>
        </w:rPr>
        <w:t xml:space="preserve"> and policies for</w:t>
      </w:r>
      <w:r w:rsidR="00A62371" w:rsidRPr="00481605">
        <w:rPr>
          <w:b/>
        </w:rPr>
        <w:t xml:space="preserve"> CTE programs. </w:t>
      </w:r>
    </w:p>
    <w:p w14:paraId="01033091" w14:textId="77777777" w:rsidR="00A62371" w:rsidRPr="00481605" w:rsidRDefault="00A62371" w:rsidP="006823CB">
      <w:pPr>
        <w:rPr>
          <w:b/>
        </w:rPr>
      </w:pPr>
    </w:p>
    <w:p w14:paraId="468B0893" w14:textId="77777777" w:rsidR="00CE7578" w:rsidRPr="00481605" w:rsidRDefault="00CE7578" w:rsidP="00CE757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4901"/>
        <w:gridCol w:w="6930"/>
      </w:tblGrid>
      <w:tr w:rsidR="005B3CEE" w:rsidRPr="00481605" w14:paraId="577A0CCC" w14:textId="77777777" w:rsidTr="005B3CEE">
        <w:trPr>
          <w:tblHeader/>
        </w:trPr>
        <w:tc>
          <w:tcPr>
            <w:tcW w:w="1057" w:type="dxa"/>
            <w:shd w:val="clear" w:color="auto" w:fill="E0E0E0"/>
          </w:tcPr>
          <w:p w14:paraId="5ED4B89B" w14:textId="77777777" w:rsidR="00CE7578" w:rsidRPr="00481605" w:rsidRDefault="00CE7578" w:rsidP="00CE7578">
            <w:pPr>
              <w:rPr>
                <w:b/>
                <w:i/>
              </w:rPr>
            </w:pPr>
            <w:r w:rsidRPr="00481605">
              <w:rPr>
                <w:b/>
                <w:i/>
              </w:rPr>
              <w:t>Time</w:t>
            </w:r>
          </w:p>
        </w:tc>
        <w:tc>
          <w:tcPr>
            <w:tcW w:w="4901" w:type="dxa"/>
            <w:shd w:val="clear" w:color="auto" w:fill="E0E0E0"/>
          </w:tcPr>
          <w:p w14:paraId="21BAFDE8" w14:textId="77777777" w:rsidR="00CE7578" w:rsidRPr="00481605" w:rsidRDefault="00CE7578" w:rsidP="00CE7578">
            <w:pPr>
              <w:rPr>
                <w:b/>
                <w:i/>
              </w:rPr>
            </w:pPr>
            <w:r w:rsidRPr="00481605">
              <w:rPr>
                <w:b/>
                <w:i/>
              </w:rPr>
              <w:t>Topic</w:t>
            </w:r>
          </w:p>
        </w:tc>
        <w:tc>
          <w:tcPr>
            <w:tcW w:w="6930" w:type="dxa"/>
            <w:shd w:val="clear" w:color="auto" w:fill="E0E0E0"/>
          </w:tcPr>
          <w:p w14:paraId="1DAB80D4" w14:textId="3B9CA690" w:rsidR="00CE7578" w:rsidRPr="00481605" w:rsidRDefault="00DE3113" w:rsidP="00CE7578">
            <w:pPr>
              <w:rPr>
                <w:b/>
                <w:i/>
              </w:rPr>
            </w:pPr>
            <w:r w:rsidRPr="00481605">
              <w:rPr>
                <w:b/>
                <w:i/>
              </w:rPr>
              <w:t>Detail</w:t>
            </w:r>
          </w:p>
        </w:tc>
      </w:tr>
      <w:tr w:rsidR="005B3CEE" w:rsidRPr="00481605" w14:paraId="345E835A" w14:textId="77777777" w:rsidTr="005B3CEE">
        <w:tblPrEx>
          <w:tblLook w:val="01E0" w:firstRow="1" w:lastRow="1" w:firstColumn="1" w:lastColumn="1" w:noHBand="0" w:noVBand="0"/>
        </w:tblPrEx>
        <w:tc>
          <w:tcPr>
            <w:tcW w:w="1057" w:type="dxa"/>
          </w:tcPr>
          <w:p w14:paraId="0049C867" w14:textId="77777777" w:rsidR="00CE7578" w:rsidRPr="00481605" w:rsidRDefault="00CE7578" w:rsidP="00CE7578">
            <w:r w:rsidRPr="00481605">
              <w:t>10:00 –</w:t>
            </w:r>
          </w:p>
          <w:p w14:paraId="2999C62D" w14:textId="28199CC6" w:rsidR="00CE7578" w:rsidRPr="00481605" w:rsidRDefault="001E4D7F" w:rsidP="00CE7578">
            <w:r w:rsidRPr="00481605">
              <w:t>10:15</w:t>
            </w:r>
          </w:p>
        </w:tc>
        <w:tc>
          <w:tcPr>
            <w:tcW w:w="4901" w:type="dxa"/>
          </w:tcPr>
          <w:p w14:paraId="0B546D04" w14:textId="77777777" w:rsidR="00CE7578" w:rsidRPr="00481605" w:rsidRDefault="00CE7578" w:rsidP="00CE7578">
            <w:r w:rsidRPr="00481605">
              <w:t>Welcome and Opening Remarks</w:t>
            </w:r>
          </w:p>
          <w:p w14:paraId="27EFBDC7" w14:textId="77777777" w:rsidR="00CE7578" w:rsidRPr="00481605" w:rsidRDefault="00CE7578" w:rsidP="009569A4">
            <w:pPr>
              <w:rPr>
                <w:i/>
              </w:rPr>
            </w:pPr>
          </w:p>
        </w:tc>
        <w:tc>
          <w:tcPr>
            <w:tcW w:w="6930" w:type="dxa"/>
          </w:tcPr>
          <w:p w14:paraId="398B5540" w14:textId="3D9A8E8A" w:rsidR="009569A4" w:rsidRPr="00402270" w:rsidRDefault="009569A4" w:rsidP="009569A4">
            <w:r w:rsidRPr="00402270">
              <w:t xml:space="preserve">Welcome and Introductions. </w:t>
            </w:r>
          </w:p>
          <w:p w14:paraId="31525889" w14:textId="77777777" w:rsidR="009569A4" w:rsidRPr="00402270" w:rsidRDefault="009569A4" w:rsidP="009569A4"/>
          <w:p w14:paraId="3F1B42E8" w14:textId="77777777" w:rsidR="009569A4" w:rsidRPr="00402270" w:rsidRDefault="009569A4" w:rsidP="009569A4">
            <w:r w:rsidRPr="00402270">
              <w:t xml:space="preserve">Brief overview of Workforce Taskforce, previous regional conversation findings and future events. </w:t>
            </w:r>
          </w:p>
          <w:p w14:paraId="13E28E88" w14:textId="77777777" w:rsidR="009569A4" w:rsidRPr="00402270" w:rsidRDefault="009569A4" w:rsidP="009569A4"/>
          <w:p w14:paraId="327E29A6" w14:textId="77777777" w:rsidR="006823CB" w:rsidRPr="00402270" w:rsidRDefault="009569A4" w:rsidP="006823CB">
            <w:r w:rsidRPr="00402270">
              <w:t>Explanation of the agenda and goals of the day.</w:t>
            </w:r>
          </w:p>
          <w:p w14:paraId="37D9AA14" w14:textId="6FD75253" w:rsidR="009569A4" w:rsidRPr="00481605" w:rsidRDefault="009569A4" w:rsidP="006823CB">
            <w:pPr>
              <w:rPr>
                <w:i/>
                <w:color w:val="0070C0"/>
              </w:rPr>
            </w:pPr>
          </w:p>
        </w:tc>
      </w:tr>
      <w:tr w:rsidR="00BB65BE" w:rsidRPr="00481605" w14:paraId="08556ECC" w14:textId="77777777" w:rsidTr="005B3CEE">
        <w:tblPrEx>
          <w:tblLook w:val="01E0" w:firstRow="1" w:lastRow="1" w:firstColumn="1" w:lastColumn="1" w:noHBand="0" w:noVBand="0"/>
        </w:tblPrEx>
        <w:tc>
          <w:tcPr>
            <w:tcW w:w="1057" w:type="dxa"/>
          </w:tcPr>
          <w:p w14:paraId="4D172EED" w14:textId="49C1775F" w:rsidR="00BB65BE" w:rsidRPr="00481605" w:rsidRDefault="001E4D7F" w:rsidP="00CE7578">
            <w:r w:rsidRPr="00481605">
              <w:t>10:15</w:t>
            </w:r>
            <w:r w:rsidR="00BB65BE" w:rsidRPr="00481605">
              <w:t xml:space="preserve"> –</w:t>
            </w:r>
            <w:r w:rsidR="009F3676" w:rsidRPr="00481605">
              <w:t xml:space="preserve"> 11:15</w:t>
            </w:r>
          </w:p>
        </w:tc>
        <w:tc>
          <w:tcPr>
            <w:tcW w:w="4901" w:type="dxa"/>
          </w:tcPr>
          <w:p w14:paraId="0D7010DE" w14:textId="1FE621B6" w:rsidR="00BB65BE" w:rsidRPr="00481605" w:rsidRDefault="009E742C" w:rsidP="009569A4">
            <w:r w:rsidRPr="00481605">
              <w:t>General Session</w:t>
            </w:r>
            <w:r w:rsidR="009569A4" w:rsidRPr="00481605">
              <w:t>: Completion, Responsiveness</w:t>
            </w:r>
            <w:r w:rsidRPr="00481605">
              <w:t>,</w:t>
            </w:r>
            <w:r w:rsidR="009569A4" w:rsidRPr="00481605">
              <w:t xml:space="preserve"> and Funding.</w:t>
            </w:r>
          </w:p>
        </w:tc>
        <w:tc>
          <w:tcPr>
            <w:tcW w:w="6930" w:type="dxa"/>
          </w:tcPr>
          <w:p w14:paraId="1A53FC6C" w14:textId="77777777" w:rsidR="009569A4" w:rsidRPr="00481605" w:rsidRDefault="009569A4" w:rsidP="009569A4">
            <w:r w:rsidRPr="00481605">
              <w:t xml:space="preserve">Explore and comment on the three areas of discussion from prior Regional College Conversations: Completion, Responsiveness and Funding. </w:t>
            </w:r>
          </w:p>
          <w:p w14:paraId="729EA636" w14:textId="77777777" w:rsidR="009569A4" w:rsidRPr="00481605" w:rsidRDefault="009569A4" w:rsidP="009569A4"/>
          <w:p w14:paraId="3994834C" w14:textId="77777777" w:rsidR="00BB65BE" w:rsidRPr="00481605" w:rsidRDefault="009F3676" w:rsidP="00CE7578">
            <w:pPr>
              <w:rPr>
                <w:b/>
                <w:i/>
              </w:rPr>
            </w:pPr>
            <w:r w:rsidRPr="00481605">
              <w:rPr>
                <w:b/>
                <w:i/>
              </w:rPr>
              <w:t>Completion:</w:t>
            </w:r>
          </w:p>
          <w:p w14:paraId="245A454B" w14:textId="77777777" w:rsidR="009F3676" w:rsidRPr="00481605" w:rsidRDefault="009F3676" w:rsidP="009F3676">
            <w:pPr>
              <w:rPr>
                <w:b/>
                <w:i/>
              </w:rPr>
            </w:pPr>
            <w:r w:rsidRPr="00481605">
              <w:rPr>
                <w:b/>
                <w:i/>
              </w:rPr>
              <w:t>Do barriers exist that stop students from achieving their educational goal? If so, please define.</w:t>
            </w:r>
          </w:p>
          <w:p w14:paraId="362123E4" w14:textId="77777777" w:rsidR="009F3676" w:rsidRPr="00481605" w:rsidRDefault="009F3676" w:rsidP="009F3676">
            <w:pPr>
              <w:rPr>
                <w:b/>
                <w:i/>
              </w:rPr>
            </w:pPr>
          </w:p>
          <w:p w14:paraId="306AACE8" w14:textId="77777777" w:rsidR="009F3676" w:rsidRPr="00481605" w:rsidRDefault="009F3676" w:rsidP="009F3676">
            <w:pPr>
              <w:rPr>
                <w:b/>
                <w:i/>
              </w:rPr>
            </w:pPr>
            <w:r w:rsidRPr="00481605">
              <w:rPr>
                <w:b/>
                <w:i/>
              </w:rPr>
              <w:t xml:space="preserve">How do you remove the barriers or resolve the issues? </w:t>
            </w:r>
          </w:p>
          <w:p w14:paraId="07781A46" w14:textId="77777777" w:rsidR="009F3676" w:rsidRPr="00481605" w:rsidRDefault="009F3676" w:rsidP="00CE7578">
            <w:pPr>
              <w:rPr>
                <w:b/>
                <w:i/>
              </w:rPr>
            </w:pPr>
          </w:p>
          <w:p w14:paraId="5485C9BE" w14:textId="396E1977" w:rsidR="009F3676" w:rsidRPr="00481605" w:rsidRDefault="009F3676" w:rsidP="00CE7578">
            <w:pPr>
              <w:rPr>
                <w:b/>
                <w:i/>
              </w:rPr>
            </w:pPr>
            <w:r w:rsidRPr="00481605">
              <w:rPr>
                <w:b/>
                <w:i/>
              </w:rPr>
              <w:t>Responsiveness:</w:t>
            </w:r>
          </w:p>
          <w:p w14:paraId="380B4595" w14:textId="718A647A" w:rsidR="009F3676" w:rsidRPr="00481605" w:rsidRDefault="009F3676" w:rsidP="009F3676">
            <w:pPr>
              <w:rPr>
                <w:b/>
                <w:i/>
              </w:rPr>
            </w:pPr>
            <w:r w:rsidRPr="00481605">
              <w:rPr>
                <w:b/>
                <w:i/>
              </w:rPr>
              <w:t xml:space="preserve">Do barriers exist that prevent colleges from expeditiously responding to </w:t>
            </w:r>
            <w:r w:rsidR="008B5839">
              <w:rPr>
                <w:b/>
                <w:i/>
              </w:rPr>
              <w:t>new work</w:t>
            </w:r>
            <w:r w:rsidR="000A2E1E">
              <w:rPr>
                <w:b/>
                <w:i/>
              </w:rPr>
              <w:t xml:space="preserve">force or </w:t>
            </w:r>
            <w:r w:rsidR="008B5839">
              <w:rPr>
                <w:b/>
                <w:i/>
              </w:rPr>
              <w:t xml:space="preserve">industry demands? Do barriers exist that impede colleges from responding to </w:t>
            </w:r>
            <w:r w:rsidRPr="00481605">
              <w:rPr>
                <w:b/>
                <w:i/>
              </w:rPr>
              <w:lastRenderedPageBreak/>
              <w:t>changing industry needs or standards? If so, please define.</w:t>
            </w:r>
          </w:p>
          <w:p w14:paraId="23793CCC" w14:textId="77777777" w:rsidR="009F3676" w:rsidRPr="00481605" w:rsidRDefault="009F3676" w:rsidP="009F3676">
            <w:pPr>
              <w:rPr>
                <w:b/>
                <w:i/>
              </w:rPr>
            </w:pPr>
          </w:p>
          <w:p w14:paraId="7D1E2583" w14:textId="4934C98A" w:rsidR="009F3676" w:rsidRPr="00481605" w:rsidRDefault="009F3676" w:rsidP="009F3676">
            <w:pPr>
              <w:rPr>
                <w:b/>
                <w:i/>
              </w:rPr>
            </w:pPr>
            <w:r w:rsidRPr="00481605">
              <w:rPr>
                <w:b/>
                <w:i/>
              </w:rPr>
              <w:t>How do we remove</w:t>
            </w:r>
            <w:r w:rsidR="00402270">
              <w:rPr>
                <w:b/>
                <w:i/>
              </w:rPr>
              <w:t xml:space="preserve"> or minimize</w:t>
            </w:r>
            <w:r w:rsidRPr="00481605">
              <w:rPr>
                <w:b/>
                <w:i/>
              </w:rPr>
              <w:t xml:space="preserve"> the barriers?</w:t>
            </w:r>
          </w:p>
          <w:p w14:paraId="341E9642" w14:textId="77777777" w:rsidR="009F3676" w:rsidRPr="00481605" w:rsidRDefault="009F3676" w:rsidP="00CE7578">
            <w:pPr>
              <w:rPr>
                <w:b/>
                <w:i/>
              </w:rPr>
            </w:pPr>
          </w:p>
          <w:p w14:paraId="147729FC" w14:textId="77777777" w:rsidR="009F3676" w:rsidRPr="00481605" w:rsidRDefault="009F3676" w:rsidP="00CE7578">
            <w:pPr>
              <w:rPr>
                <w:b/>
                <w:i/>
              </w:rPr>
            </w:pPr>
            <w:r w:rsidRPr="00481605">
              <w:rPr>
                <w:b/>
                <w:i/>
              </w:rPr>
              <w:t>Funding:</w:t>
            </w:r>
          </w:p>
          <w:p w14:paraId="1F145EFF" w14:textId="77777777" w:rsidR="009F3676" w:rsidRPr="00481605" w:rsidRDefault="009F3676" w:rsidP="009F3676">
            <w:pPr>
              <w:rPr>
                <w:b/>
                <w:i/>
              </w:rPr>
            </w:pPr>
            <w:r w:rsidRPr="00481605">
              <w:rPr>
                <w:b/>
                <w:i/>
              </w:rPr>
              <w:t xml:space="preserve">Are there structural impediments in the way that CTE programs are funded that create barriers or challenges in providing current and sustainable programs? If so, please define. </w:t>
            </w:r>
          </w:p>
          <w:p w14:paraId="6B8D1E6C" w14:textId="77777777" w:rsidR="009F3676" w:rsidRPr="00481605" w:rsidRDefault="009F3676" w:rsidP="009F3676">
            <w:pPr>
              <w:rPr>
                <w:b/>
                <w:i/>
              </w:rPr>
            </w:pPr>
          </w:p>
          <w:p w14:paraId="1FD50182" w14:textId="77777777" w:rsidR="009F3676" w:rsidRPr="00481605" w:rsidRDefault="009F3676" w:rsidP="009F3676">
            <w:pPr>
              <w:rPr>
                <w:b/>
                <w:i/>
              </w:rPr>
            </w:pPr>
            <w:r w:rsidRPr="00481605">
              <w:rPr>
                <w:b/>
                <w:i/>
              </w:rPr>
              <w:t>What changes would you suggest to improve funding and funding processes for CTE programs?</w:t>
            </w:r>
          </w:p>
          <w:p w14:paraId="1F43D52A" w14:textId="77777777" w:rsidR="009F3676" w:rsidRPr="00481605" w:rsidRDefault="009F3676" w:rsidP="00CE7578">
            <w:pPr>
              <w:rPr>
                <w:b/>
                <w:i/>
              </w:rPr>
            </w:pPr>
          </w:p>
        </w:tc>
      </w:tr>
      <w:tr w:rsidR="009F3676" w:rsidRPr="00481605" w14:paraId="176CE44A" w14:textId="77777777" w:rsidTr="005B3CEE">
        <w:tblPrEx>
          <w:tblLook w:val="01E0" w:firstRow="1" w:lastRow="1" w:firstColumn="1" w:lastColumn="1" w:noHBand="0" w:noVBand="0"/>
        </w:tblPrEx>
        <w:tc>
          <w:tcPr>
            <w:tcW w:w="1057" w:type="dxa"/>
          </w:tcPr>
          <w:p w14:paraId="1224DE1C" w14:textId="340F4773" w:rsidR="009F3676" w:rsidRPr="00481605" w:rsidRDefault="009F3676" w:rsidP="00CE7578">
            <w:r w:rsidRPr="00481605">
              <w:lastRenderedPageBreak/>
              <w:t>11:15 – 12:15</w:t>
            </w:r>
          </w:p>
        </w:tc>
        <w:tc>
          <w:tcPr>
            <w:tcW w:w="4901" w:type="dxa"/>
          </w:tcPr>
          <w:p w14:paraId="2B698A3A" w14:textId="63C79886" w:rsidR="009F3676" w:rsidRPr="00481605" w:rsidRDefault="009E742C" w:rsidP="00BB65BE">
            <w:pPr>
              <w:rPr>
                <w:i/>
                <w:color w:val="0070C0"/>
              </w:rPr>
            </w:pPr>
            <w:r w:rsidRPr="00481605">
              <w:t>Breakout: Small Group Discussion on the Major Themes from Regional College Conversations.</w:t>
            </w:r>
          </w:p>
        </w:tc>
        <w:tc>
          <w:tcPr>
            <w:tcW w:w="6930" w:type="dxa"/>
          </w:tcPr>
          <w:p w14:paraId="092486E8" w14:textId="269F7019" w:rsidR="00402270" w:rsidRDefault="009E742C" w:rsidP="009E742C">
            <w:r w:rsidRPr="00481605">
              <w:t xml:space="preserve">Review the document “Major Themes from Regional College Conversations.” </w:t>
            </w:r>
            <w:r w:rsidR="00CD50B5" w:rsidRPr="00481605">
              <w:t>The strategies,</w:t>
            </w:r>
            <w:r w:rsidRPr="00481605">
              <w:t xml:space="preserve"> </w:t>
            </w:r>
            <w:r w:rsidR="00CD50B5" w:rsidRPr="00481605">
              <w:t xml:space="preserve">listed below each theme, are designed </w:t>
            </w:r>
            <w:r w:rsidRPr="00481605">
              <w:t xml:space="preserve">to improve </w:t>
            </w:r>
            <w:r w:rsidR="00CD50B5" w:rsidRPr="00481605">
              <w:t xml:space="preserve">specific </w:t>
            </w:r>
            <w:r w:rsidRPr="00481605">
              <w:t xml:space="preserve">aspects of </w:t>
            </w:r>
            <w:r w:rsidR="00402270">
              <w:t>the</w:t>
            </w:r>
            <w:r w:rsidRPr="00481605">
              <w:t xml:space="preserve"> theme. </w:t>
            </w:r>
          </w:p>
          <w:p w14:paraId="261A903C" w14:textId="77777777" w:rsidR="00402270" w:rsidRDefault="00402270" w:rsidP="009E742C"/>
          <w:p w14:paraId="7415E811" w14:textId="5958289A" w:rsidR="009F3676" w:rsidRPr="00481605" w:rsidRDefault="00CD50B5" w:rsidP="009E742C">
            <w:r w:rsidRPr="00481605">
              <w:t xml:space="preserve">Discuss </w:t>
            </w:r>
            <w:r w:rsidR="009E742C" w:rsidRPr="00481605">
              <w:t xml:space="preserve">the </w:t>
            </w:r>
            <w:r w:rsidRPr="00481605">
              <w:t xml:space="preserve">appropriateness and feasibility of the </w:t>
            </w:r>
            <w:r w:rsidR="009E742C" w:rsidRPr="00481605">
              <w:t>suggested strategies</w:t>
            </w:r>
            <w:r w:rsidRPr="00481605">
              <w:t>. In discussing the strategies, c</w:t>
            </w:r>
            <w:r w:rsidR="00275BF8" w:rsidRPr="00481605">
              <w:t>onsider the questions listed below as well as what may be missing from the themes and strategies.</w:t>
            </w:r>
          </w:p>
          <w:p w14:paraId="29F1D664" w14:textId="77777777" w:rsidR="00275BF8" w:rsidRPr="00481605" w:rsidRDefault="00275BF8" w:rsidP="009E742C"/>
          <w:p w14:paraId="4CEE2472" w14:textId="5AC0B7D3" w:rsidR="00275BF8" w:rsidRPr="00481605" w:rsidRDefault="00275BF8" w:rsidP="009E742C">
            <w:r w:rsidRPr="00481605">
              <w:t>For the strategies listed:</w:t>
            </w:r>
          </w:p>
          <w:p w14:paraId="772881BC" w14:textId="77777777" w:rsidR="00E90B81" w:rsidRPr="00481605" w:rsidRDefault="00E90B81" w:rsidP="009E742C">
            <w:r w:rsidRPr="00481605">
              <w:t>Does the problem the strategy is designed to solve actually exist?</w:t>
            </w:r>
          </w:p>
          <w:p w14:paraId="025E7DAC" w14:textId="268E5A4C" w:rsidR="00275BF8" w:rsidRPr="00481605" w:rsidRDefault="00275BF8" w:rsidP="009E742C">
            <w:r w:rsidRPr="00481605">
              <w:t>Does the strategy solve the problem it is intended to solve?</w:t>
            </w:r>
          </w:p>
          <w:p w14:paraId="3E2AD141" w14:textId="4F952CEF" w:rsidR="00275BF8" w:rsidRPr="00481605" w:rsidRDefault="00275BF8" w:rsidP="009E742C">
            <w:r w:rsidRPr="00481605">
              <w:t xml:space="preserve">Is the problem mitigated or minimized but not solved by the strategy? </w:t>
            </w:r>
          </w:p>
          <w:p w14:paraId="65F0FD51" w14:textId="77777777" w:rsidR="00275BF8" w:rsidRPr="00481605" w:rsidRDefault="00275BF8" w:rsidP="00275BF8">
            <w:r w:rsidRPr="00481605">
              <w:t>Is the strategy appropriate?</w:t>
            </w:r>
          </w:p>
          <w:p w14:paraId="28E9B3DA" w14:textId="28A582AC" w:rsidR="00275BF8" w:rsidRPr="00481605" w:rsidRDefault="00275BF8" w:rsidP="00275BF8">
            <w:r w:rsidRPr="00481605">
              <w:t>Is the strategy necessary?</w:t>
            </w:r>
          </w:p>
          <w:p w14:paraId="0BE832C9" w14:textId="653C1C62" w:rsidR="00275BF8" w:rsidRPr="00481605" w:rsidRDefault="00275BF8" w:rsidP="009E742C">
            <w:r w:rsidRPr="00481605">
              <w:t>Is the strategy feasible?</w:t>
            </w:r>
          </w:p>
          <w:p w14:paraId="489C1CC9" w14:textId="4787709B" w:rsidR="00E90B81" w:rsidRPr="00481605" w:rsidRDefault="00E90B81" w:rsidP="009E742C">
            <w:r w:rsidRPr="00481605">
              <w:t xml:space="preserve">Is there another or better strategy </w:t>
            </w:r>
            <w:r w:rsidR="00275BF8" w:rsidRPr="00481605">
              <w:t>to</w:t>
            </w:r>
            <w:r w:rsidRPr="00481605">
              <w:t xml:space="preserve"> solve the problem?</w:t>
            </w:r>
          </w:p>
          <w:p w14:paraId="49D008CB" w14:textId="77777777" w:rsidR="00275BF8" w:rsidRPr="00481605" w:rsidRDefault="00275BF8" w:rsidP="009E742C"/>
          <w:p w14:paraId="77D99EFC" w14:textId="167812A6" w:rsidR="00275BF8" w:rsidRPr="00481605" w:rsidRDefault="00275BF8" w:rsidP="009E742C">
            <w:r w:rsidRPr="00481605">
              <w:lastRenderedPageBreak/>
              <w:t xml:space="preserve">Additional </w:t>
            </w:r>
            <w:r w:rsidR="00402270">
              <w:t xml:space="preserve">theme and strategies </w:t>
            </w:r>
            <w:r w:rsidR="00481605">
              <w:t>questions:</w:t>
            </w:r>
          </w:p>
          <w:p w14:paraId="5CF1C7EE" w14:textId="77777777" w:rsidR="00920C02" w:rsidRDefault="00920C02" w:rsidP="009E742C">
            <w:r>
              <w:t>What’s missing?</w:t>
            </w:r>
          </w:p>
          <w:p w14:paraId="3099DA8D" w14:textId="5638D289" w:rsidR="00275BF8" w:rsidRPr="00481605" w:rsidRDefault="00275BF8" w:rsidP="009E742C">
            <w:r w:rsidRPr="00481605">
              <w:t>Are there</w:t>
            </w:r>
            <w:r w:rsidR="00E90B81" w:rsidRPr="00481605">
              <w:t xml:space="preserve"> issues</w:t>
            </w:r>
            <w:r w:rsidRPr="00481605">
              <w:t>, concerns or problems that are not represented in the list of themes and strategies?</w:t>
            </w:r>
          </w:p>
          <w:p w14:paraId="003CD017" w14:textId="14C99813" w:rsidR="00E90B81" w:rsidRPr="00481605" w:rsidRDefault="00275BF8" w:rsidP="009E742C">
            <w:r w:rsidRPr="00481605">
              <w:t>What is</w:t>
            </w:r>
            <w:r w:rsidR="00E90B81" w:rsidRPr="00481605">
              <w:t xml:space="preserve"> missing?</w:t>
            </w:r>
          </w:p>
          <w:p w14:paraId="1CDA06E8" w14:textId="4FC43AFE" w:rsidR="00E90B81" w:rsidRPr="00481605" w:rsidRDefault="00275BF8" w:rsidP="009E742C">
            <w:r w:rsidRPr="00481605">
              <w:t>How would you define the problem or concern that is missing</w:t>
            </w:r>
            <w:r w:rsidR="00E90B81" w:rsidRPr="00481605">
              <w:t>?</w:t>
            </w:r>
          </w:p>
          <w:p w14:paraId="36180D32" w14:textId="0853984F" w:rsidR="00275BF8" w:rsidRPr="00481605" w:rsidRDefault="00402270" w:rsidP="009E742C">
            <w:r>
              <w:t>What action or strategy</w:t>
            </w:r>
            <w:r w:rsidR="00275BF8" w:rsidRPr="00481605">
              <w:t xml:space="preserve"> would mitigate</w:t>
            </w:r>
            <w:r w:rsidR="00F70BEA" w:rsidRPr="00481605">
              <w:t xml:space="preserve"> </w:t>
            </w:r>
            <w:r w:rsidR="00275BF8" w:rsidRPr="00481605">
              <w:t>or solve the problem?</w:t>
            </w:r>
          </w:p>
          <w:p w14:paraId="25697CFE" w14:textId="595113F9" w:rsidR="009E742C" w:rsidRPr="00481605" w:rsidRDefault="00402270" w:rsidP="009E742C">
            <w:r>
              <w:t>Is the strategy a short or long term solution to the problem? If it is a long-term solution, is there a strategy that would minimize the problem in the short term?</w:t>
            </w:r>
          </w:p>
          <w:p w14:paraId="0AE89370" w14:textId="44A7CAA5" w:rsidR="009E742C" w:rsidRPr="00481605" w:rsidRDefault="009E742C" w:rsidP="00E90B81"/>
        </w:tc>
      </w:tr>
      <w:tr w:rsidR="005B3CEE" w:rsidRPr="00481605" w14:paraId="302F70CE" w14:textId="77777777" w:rsidTr="005B3CEE">
        <w:tblPrEx>
          <w:tblLook w:val="01E0" w:firstRow="1" w:lastRow="1" w:firstColumn="1" w:lastColumn="1" w:noHBand="0" w:noVBand="0"/>
        </w:tblPrEx>
        <w:tc>
          <w:tcPr>
            <w:tcW w:w="1057" w:type="dxa"/>
            <w:shd w:val="clear" w:color="auto" w:fill="D9D9D9" w:themeFill="background1" w:themeFillShade="D9"/>
          </w:tcPr>
          <w:p w14:paraId="3A0611F3" w14:textId="428FE075" w:rsidR="00CE7578" w:rsidRPr="00481605" w:rsidRDefault="009F3676" w:rsidP="00CE7578">
            <w:r w:rsidRPr="00481605">
              <w:lastRenderedPageBreak/>
              <w:t>12:15 – 12:35</w:t>
            </w:r>
          </w:p>
        </w:tc>
        <w:tc>
          <w:tcPr>
            <w:tcW w:w="4901" w:type="dxa"/>
            <w:shd w:val="clear" w:color="auto" w:fill="D9D9D9" w:themeFill="background1" w:themeFillShade="D9"/>
          </w:tcPr>
          <w:p w14:paraId="15EB72EB" w14:textId="77777777" w:rsidR="00CE7578" w:rsidRPr="00481605" w:rsidRDefault="00816982" w:rsidP="00CE7578">
            <w:r w:rsidRPr="00481605">
              <w:t>Lunch</w:t>
            </w:r>
            <w:r w:rsidR="00CE7578" w:rsidRPr="00481605">
              <w:t xml:space="preserve"> 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04A45A78" w14:textId="77777777" w:rsidR="00CE7578" w:rsidRPr="00481605" w:rsidRDefault="00CE7578" w:rsidP="00CE7578"/>
        </w:tc>
      </w:tr>
      <w:tr w:rsidR="005B3CEE" w:rsidRPr="00481605" w14:paraId="524177E2" w14:textId="77777777" w:rsidTr="005B3CEE">
        <w:tblPrEx>
          <w:tblLook w:val="01E0" w:firstRow="1" w:lastRow="1" w:firstColumn="1" w:lastColumn="1" w:noHBand="0" w:noVBand="0"/>
        </w:tblPrEx>
        <w:tc>
          <w:tcPr>
            <w:tcW w:w="1057" w:type="dxa"/>
          </w:tcPr>
          <w:p w14:paraId="2707660E" w14:textId="0E76C431" w:rsidR="00CE7578" w:rsidRPr="00481605" w:rsidRDefault="009F3676" w:rsidP="00CE7578">
            <w:r w:rsidRPr="00481605">
              <w:t>12:35 – 2</w:t>
            </w:r>
            <w:r w:rsidR="00F5327C" w:rsidRPr="00481605">
              <w:t>:</w:t>
            </w:r>
            <w:r w:rsidRPr="00481605">
              <w:t>0</w:t>
            </w:r>
            <w:r w:rsidR="00BA2258" w:rsidRPr="00481605">
              <w:t>0</w:t>
            </w:r>
          </w:p>
        </w:tc>
        <w:tc>
          <w:tcPr>
            <w:tcW w:w="4901" w:type="dxa"/>
          </w:tcPr>
          <w:p w14:paraId="61E2EB0B" w14:textId="384C5348" w:rsidR="00CE7578" w:rsidRPr="00481605" w:rsidRDefault="00E90B81" w:rsidP="00CE7578">
            <w:r w:rsidRPr="00481605">
              <w:t>Breakout: Small Group Discussion on the Major Themes from Regional College Conversations</w:t>
            </w:r>
            <w:r w:rsidR="00481605">
              <w:t xml:space="preserve"> Continued.</w:t>
            </w:r>
          </w:p>
        </w:tc>
        <w:tc>
          <w:tcPr>
            <w:tcW w:w="6930" w:type="dxa"/>
          </w:tcPr>
          <w:p w14:paraId="4D9C281A" w14:textId="77777777" w:rsidR="00402270" w:rsidRDefault="00E90B81" w:rsidP="00481605">
            <w:r w:rsidRPr="00481605">
              <w:t xml:space="preserve">Continue </w:t>
            </w:r>
            <w:r w:rsidR="00481605" w:rsidRPr="00481605">
              <w:t xml:space="preserve">discussing </w:t>
            </w:r>
            <w:r w:rsidRPr="00481605">
              <w:t xml:space="preserve">the major themes and strategies. Once all themes </w:t>
            </w:r>
            <w:r w:rsidR="00481605" w:rsidRPr="00481605">
              <w:t xml:space="preserve">and strategies </w:t>
            </w:r>
            <w:r w:rsidRPr="00481605">
              <w:t xml:space="preserve">have been discussed, prioritize the strategies </w:t>
            </w:r>
            <w:r w:rsidR="00275BF8" w:rsidRPr="00481605">
              <w:t>– high, medium and low</w:t>
            </w:r>
            <w:r w:rsidR="00481605" w:rsidRPr="00481605">
              <w:t xml:space="preserve">. </w:t>
            </w:r>
          </w:p>
          <w:p w14:paraId="7EFADE0F" w14:textId="77777777" w:rsidR="00402270" w:rsidRDefault="00402270" w:rsidP="00481605"/>
          <w:p w14:paraId="595FFB88" w14:textId="7ABB500C" w:rsidR="00CE7578" w:rsidRPr="00481605" w:rsidRDefault="00481605" w:rsidP="00481605">
            <w:r w:rsidRPr="00481605">
              <w:t>T</w:t>
            </w:r>
            <w:r w:rsidR="00E90B81" w:rsidRPr="00481605">
              <w:t xml:space="preserve">he highest priorities are the most </w:t>
            </w:r>
            <w:r w:rsidR="00275BF8" w:rsidRPr="00481605">
              <w:t xml:space="preserve">significant and </w:t>
            </w:r>
            <w:r w:rsidR="00E90B81" w:rsidRPr="00481605">
              <w:t xml:space="preserve">important </w:t>
            </w:r>
            <w:r w:rsidR="00275BF8" w:rsidRPr="00481605">
              <w:t>as well as having</w:t>
            </w:r>
            <w:r w:rsidR="00E90B81" w:rsidRPr="00481605">
              <w:t xml:space="preserve"> the greatest impact</w:t>
            </w:r>
            <w:r w:rsidRPr="00481605">
              <w:t xml:space="preserve"> in addressing the underlying issue or problem</w:t>
            </w:r>
            <w:r w:rsidR="00E90B81" w:rsidRPr="00481605">
              <w:t xml:space="preserve">. </w:t>
            </w:r>
            <w:r w:rsidR="00275BF8" w:rsidRPr="00481605">
              <w:t>Determine which ones are medium priority with some significance, importance, and impact and finally, the lowest priority with minimal importance and impact.</w:t>
            </w:r>
          </w:p>
        </w:tc>
      </w:tr>
      <w:tr w:rsidR="005B3CEE" w:rsidRPr="00481605" w14:paraId="61B4BFB8" w14:textId="77777777" w:rsidTr="005B3CEE">
        <w:tblPrEx>
          <w:tblLook w:val="01E0" w:firstRow="1" w:lastRow="1" w:firstColumn="1" w:lastColumn="1" w:noHBand="0" w:noVBand="0"/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F2CC" w14:textId="0475A988" w:rsidR="00CE7578" w:rsidRPr="00481605" w:rsidRDefault="009F3676" w:rsidP="00CE7578">
            <w:r w:rsidRPr="00481605">
              <w:t>2:0</w:t>
            </w:r>
            <w:r w:rsidR="00F5327C" w:rsidRPr="00481605">
              <w:t>0</w:t>
            </w:r>
            <w:r w:rsidR="00CE7578" w:rsidRPr="00481605">
              <w:t xml:space="preserve"> –</w:t>
            </w:r>
          </w:p>
          <w:p w14:paraId="26813B47" w14:textId="03BED371" w:rsidR="00CE7578" w:rsidRPr="00481605" w:rsidRDefault="00F5327C" w:rsidP="00CE7578">
            <w:r w:rsidRPr="00481605">
              <w:t>2:45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CAFD" w14:textId="15597AE7" w:rsidR="00CE7578" w:rsidRPr="00481605" w:rsidRDefault="001E4D7F" w:rsidP="009569A4">
            <w:r w:rsidRPr="00481605">
              <w:t>Report Out: All groups report out on recommendations and selected priorities</w:t>
            </w:r>
            <w:r w:rsidR="009569A4" w:rsidRPr="00481605">
              <w:t>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929" w14:textId="4E5E5F9A" w:rsidR="00CE7578" w:rsidRPr="00481605" w:rsidRDefault="00E90B81" w:rsidP="00F5327C">
            <w:r w:rsidRPr="00481605">
              <w:t>Each group will provide a synopsis of their small group discussion and report their findings and priorities.</w:t>
            </w:r>
          </w:p>
        </w:tc>
      </w:tr>
      <w:tr w:rsidR="005B3CEE" w:rsidRPr="00481605" w14:paraId="09F2FB81" w14:textId="77777777" w:rsidTr="005B3CEE">
        <w:tblPrEx>
          <w:tblLook w:val="01E0" w:firstRow="1" w:lastRow="1" w:firstColumn="1" w:lastColumn="1" w:noHBand="0" w:noVBand="0"/>
        </w:tblPrEx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D503" w14:textId="49A745E0" w:rsidR="00F5327C" w:rsidRPr="00481605" w:rsidRDefault="00F5327C" w:rsidP="00CE7578">
            <w:r w:rsidRPr="00481605">
              <w:t>2:45-3:00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3D1" w14:textId="590768BE" w:rsidR="00F5327C" w:rsidRPr="00481605" w:rsidRDefault="00F5327C" w:rsidP="009569A4">
            <w:r w:rsidRPr="00481605">
              <w:t xml:space="preserve">Next Steps and </w:t>
            </w:r>
            <w:r w:rsidR="009569A4" w:rsidRPr="00481605">
              <w:t>Closing Remarks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697" w14:textId="7C2E938A" w:rsidR="00F5327C" w:rsidRPr="00481605" w:rsidRDefault="00F5327C" w:rsidP="00CE7578"/>
        </w:tc>
      </w:tr>
    </w:tbl>
    <w:p w14:paraId="46ADCDCA" w14:textId="77777777" w:rsidR="00234043" w:rsidRPr="00481605" w:rsidRDefault="00234043" w:rsidP="00234043"/>
    <w:p w14:paraId="24A2D108" w14:textId="77777777" w:rsidR="00920C02" w:rsidRDefault="00920C02" w:rsidP="00234043"/>
    <w:p w14:paraId="68AB2E89" w14:textId="77777777" w:rsidR="00920C02" w:rsidRDefault="00920C02">
      <w:r>
        <w:br w:type="page"/>
      </w:r>
    </w:p>
    <w:p w14:paraId="0A252F11" w14:textId="77777777" w:rsidR="00920C02" w:rsidRPr="00920C02" w:rsidRDefault="00920C02" w:rsidP="00234043">
      <w:pPr>
        <w:rPr>
          <w:b/>
        </w:rPr>
      </w:pPr>
      <w:r w:rsidRPr="00920C02">
        <w:rPr>
          <w:b/>
        </w:rPr>
        <w:lastRenderedPageBreak/>
        <w:t>Resources</w:t>
      </w:r>
    </w:p>
    <w:p w14:paraId="2CDDBA23" w14:textId="77777777" w:rsidR="00920C02" w:rsidRDefault="00920C02" w:rsidP="00234043"/>
    <w:p w14:paraId="0A593698" w14:textId="4F8B44DD" w:rsidR="009F3676" w:rsidRPr="00481605" w:rsidRDefault="009F3676" w:rsidP="00234043">
      <w:proofErr w:type="spellStart"/>
      <w:r w:rsidRPr="00481605">
        <w:t>Powerpoint</w:t>
      </w:r>
      <w:proofErr w:type="spellEnd"/>
    </w:p>
    <w:p w14:paraId="6EC5BEC9" w14:textId="77777777" w:rsidR="00CE7578" w:rsidRPr="00481605" w:rsidRDefault="00CE7578" w:rsidP="00CE7578"/>
    <w:p w14:paraId="63180FB1" w14:textId="77777777" w:rsidR="00234043" w:rsidRPr="00481605" w:rsidRDefault="00234043" w:rsidP="00234043">
      <w:pPr>
        <w:widowControl w:val="0"/>
        <w:autoSpaceDE w:val="0"/>
        <w:autoSpaceDN w:val="0"/>
        <w:adjustRightInd w:val="0"/>
        <w:rPr>
          <w:rFonts w:cs="Verdana"/>
          <w:b/>
          <w:bCs/>
          <w:color w:val="2E2E2E"/>
        </w:rPr>
      </w:pPr>
      <w:r w:rsidRPr="00481605">
        <w:rPr>
          <w:rFonts w:cs="Verdana"/>
          <w:b/>
          <w:bCs/>
          <w:color w:val="2E2E2E"/>
        </w:rPr>
        <w:t>Task Force Reading List</w:t>
      </w:r>
    </w:p>
    <w:p w14:paraId="4BFE84CC" w14:textId="1CD8772C" w:rsidR="00481605" w:rsidRPr="00481605" w:rsidRDefault="00481605" w:rsidP="00481605">
      <w:pPr>
        <w:pStyle w:val="Default"/>
        <w:rPr>
          <w:rFonts w:asciiTheme="minorHAnsi" w:hAnsiTheme="minorHAnsi"/>
          <w:b/>
          <w:bCs/>
        </w:rPr>
      </w:pPr>
      <w:r w:rsidRPr="00481605">
        <w:rPr>
          <w:rFonts w:asciiTheme="minorHAnsi" w:hAnsiTheme="minorHAnsi"/>
          <w:b/>
          <w:bCs/>
        </w:rPr>
        <w:t>Completion</w:t>
      </w:r>
    </w:p>
    <w:p w14:paraId="7E3952AF" w14:textId="77777777" w:rsidR="00481605" w:rsidRPr="00481605" w:rsidRDefault="00481605" w:rsidP="00481605">
      <w:pPr>
        <w:pStyle w:val="Default"/>
        <w:rPr>
          <w:rStyle w:val="Hyperlink"/>
          <w:rFonts w:asciiTheme="minorHAnsi" w:hAnsiTheme="minorHAnsi"/>
        </w:rPr>
      </w:pPr>
      <w:r w:rsidRPr="00481605">
        <w:rPr>
          <w:rFonts w:asciiTheme="minorHAnsi" w:hAnsiTheme="minorHAnsi"/>
          <w:i/>
          <w:iCs/>
        </w:rPr>
        <w:t xml:space="preserve">The Road Less Traveled: Realizing the Potential of Career Technical Education in the California Community Colleges, </w:t>
      </w:r>
      <w:r w:rsidRPr="00481605">
        <w:rPr>
          <w:rFonts w:asciiTheme="minorHAnsi" w:hAnsiTheme="minorHAnsi"/>
        </w:rPr>
        <w:t xml:space="preserve">Nancy </w:t>
      </w:r>
      <w:proofErr w:type="spellStart"/>
      <w:r w:rsidRPr="00481605">
        <w:rPr>
          <w:rFonts w:asciiTheme="minorHAnsi" w:hAnsiTheme="minorHAnsi"/>
        </w:rPr>
        <w:t>Shulock</w:t>
      </w:r>
      <w:proofErr w:type="spellEnd"/>
      <w:r w:rsidRPr="00481605">
        <w:rPr>
          <w:rFonts w:asciiTheme="minorHAnsi" w:hAnsiTheme="minorHAnsi"/>
        </w:rPr>
        <w:t xml:space="preserve">, 2011, </w:t>
      </w:r>
      <w:hyperlink r:id="rId5" w:history="1">
        <w:r w:rsidRPr="00481605">
          <w:rPr>
            <w:rStyle w:val="Hyperlink"/>
            <w:rFonts w:asciiTheme="minorHAnsi" w:hAnsiTheme="minorHAnsi"/>
          </w:rPr>
          <w:t>http://bit.ly/1DXaXW0</w:t>
        </w:r>
      </w:hyperlink>
    </w:p>
    <w:p w14:paraId="7825F5D6" w14:textId="77777777" w:rsidR="00481605" w:rsidRPr="00481605" w:rsidRDefault="00481605" w:rsidP="00481605">
      <w:pPr>
        <w:pStyle w:val="Default"/>
        <w:rPr>
          <w:rFonts w:asciiTheme="minorHAnsi" w:hAnsiTheme="minorHAnsi"/>
          <w:i/>
          <w:iCs/>
        </w:rPr>
      </w:pPr>
    </w:p>
    <w:p w14:paraId="63551318" w14:textId="77777777" w:rsidR="00481605" w:rsidRPr="00481605" w:rsidRDefault="00481605" w:rsidP="00481605">
      <w:pPr>
        <w:pStyle w:val="Default"/>
        <w:rPr>
          <w:rFonts w:asciiTheme="minorHAnsi" w:hAnsiTheme="minorHAnsi"/>
        </w:rPr>
      </w:pPr>
      <w:r w:rsidRPr="00481605">
        <w:rPr>
          <w:rFonts w:asciiTheme="minorHAnsi" w:hAnsiTheme="minorHAnsi"/>
          <w:i/>
          <w:iCs/>
        </w:rPr>
        <w:t xml:space="preserve">Career Opportunities: Career Technical Education and the College Completion Agenda, Part I: Structure and Funding of Career Technical Education in the California Community Colleges, </w:t>
      </w:r>
      <w:r w:rsidRPr="00481605">
        <w:rPr>
          <w:rFonts w:asciiTheme="minorHAnsi" w:hAnsiTheme="minorHAnsi"/>
        </w:rPr>
        <w:t xml:space="preserve">Nancy </w:t>
      </w:r>
      <w:proofErr w:type="spellStart"/>
      <w:r w:rsidRPr="00481605">
        <w:rPr>
          <w:rFonts w:asciiTheme="minorHAnsi" w:hAnsiTheme="minorHAnsi"/>
        </w:rPr>
        <w:t>Shulock</w:t>
      </w:r>
      <w:proofErr w:type="spellEnd"/>
      <w:r w:rsidRPr="00481605">
        <w:rPr>
          <w:rFonts w:asciiTheme="minorHAnsi" w:hAnsiTheme="minorHAnsi"/>
        </w:rPr>
        <w:t xml:space="preserve"> and Jeremy </w:t>
      </w:r>
      <w:proofErr w:type="spellStart"/>
      <w:r w:rsidRPr="00481605">
        <w:rPr>
          <w:rFonts w:asciiTheme="minorHAnsi" w:hAnsiTheme="minorHAnsi"/>
        </w:rPr>
        <w:t>Offenstein</w:t>
      </w:r>
      <w:proofErr w:type="spellEnd"/>
      <w:r w:rsidRPr="00481605">
        <w:rPr>
          <w:rFonts w:asciiTheme="minorHAnsi" w:hAnsiTheme="minorHAnsi"/>
        </w:rPr>
        <w:t xml:space="preserve">, 2012, </w:t>
      </w:r>
      <w:hyperlink r:id="rId6" w:history="1">
        <w:r w:rsidRPr="00481605">
          <w:rPr>
            <w:rStyle w:val="Hyperlink"/>
            <w:rFonts w:asciiTheme="minorHAnsi" w:hAnsiTheme="minorHAnsi"/>
          </w:rPr>
          <w:t>http://bit.ly/1DXajrM</w:t>
        </w:r>
      </w:hyperlink>
    </w:p>
    <w:p w14:paraId="51CA5F67" w14:textId="77777777" w:rsidR="00481605" w:rsidRPr="00481605" w:rsidRDefault="00481605" w:rsidP="00481605">
      <w:pPr>
        <w:pStyle w:val="Default"/>
        <w:rPr>
          <w:rFonts w:asciiTheme="minorHAnsi" w:hAnsiTheme="minorHAnsi"/>
        </w:rPr>
      </w:pPr>
    </w:p>
    <w:p w14:paraId="5BBACA88" w14:textId="77777777" w:rsidR="00481605" w:rsidRPr="00481605" w:rsidRDefault="00481605" w:rsidP="00481605">
      <w:pPr>
        <w:pStyle w:val="Default"/>
        <w:rPr>
          <w:rFonts w:asciiTheme="minorHAnsi" w:hAnsiTheme="minorHAnsi"/>
          <w:b/>
          <w:bCs/>
        </w:rPr>
      </w:pPr>
      <w:r w:rsidRPr="00481605">
        <w:rPr>
          <w:rFonts w:asciiTheme="minorHAnsi" w:hAnsiTheme="minorHAnsi"/>
          <w:i/>
          <w:iCs/>
        </w:rPr>
        <w:t xml:space="preserve">Empowering Community Colleges to Build the Nation’s Future, </w:t>
      </w:r>
      <w:r w:rsidRPr="00481605">
        <w:rPr>
          <w:rFonts w:asciiTheme="minorHAnsi" w:hAnsiTheme="minorHAnsi"/>
        </w:rPr>
        <w:t xml:space="preserve">American Association of Community Colleges, 2014, </w:t>
      </w:r>
      <w:hyperlink r:id="rId7" w:history="1">
        <w:r w:rsidRPr="00481605">
          <w:rPr>
            <w:rStyle w:val="Hyperlink"/>
            <w:rFonts w:asciiTheme="minorHAnsi" w:hAnsiTheme="minorHAnsi"/>
          </w:rPr>
          <w:t>http://bit.ly/1tBRo2a</w:t>
        </w:r>
      </w:hyperlink>
      <w:r w:rsidRPr="00481605">
        <w:rPr>
          <w:rFonts w:asciiTheme="minorHAnsi" w:hAnsiTheme="minorHAnsi"/>
        </w:rPr>
        <w:t xml:space="preserve"> </w:t>
      </w:r>
    </w:p>
    <w:p w14:paraId="27F8B4A0" w14:textId="77777777" w:rsidR="00481605" w:rsidRPr="00481605" w:rsidRDefault="00481605" w:rsidP="00481605">
      <w:pPr>
        <w:pStyle w:val="Default"/>
        <w:rPr>
          <w:rFonts w:asciiTheme="minorHAnsi" w:hAnsiTheme="minorHAnsi"/>
          <w:b/>
          <w:bCs/>
        </w:rPr>
      </w:pPr>
    </w:p>
    <w:p w14:paraId="36F1943A" w14:textId="129E0A9D" w:rsidR="00481605" w:rsidRPr="00481605" w:rsidRDefault="00481605" w:rsidP="00481605">
      <w:pPr>
        <w:pStyle w:val="Default"/>
        <w:rPr>
          <w:rFonts w:asciiTheme="minorHAnsi" w:hAnsiTheme="minorHAnsi"/>
          <w:b/>
          <w:bCs/>
        </w:rPr>
      </w:pPr>
      <w:r w:rsidRPr="00481605">
        <w:rPr>
          <w:rFonts w:asciiTheme="minorHAnsi" w:hAnsiTheme="minorHAnsi"/>
          <w:b/>
          <w:bCs/>
        </w:rPr>
        <w:t>Responsiveness</w:t>
      </w:r>
    </w:p>
    <w:p w14:paraId="6CD04517" w14:textId="77777777" w:rsidR="00481605" w:rsidRPr="00481605" w:rsidRDefault="00481605" w:rsidP="00481605">
      <w:pPr>
        <w:pStyle w:val="Default"/>
        <w:rPr>
          <w:rFonts w:asciiTheme="minorHAnsi" w:hAnsiTheme="minorHAnsi"/>
        </w:rPr>
      </w:pPr>
      <w:r w:rsidRPr="00481605">
        <w:rPr>
          <w:rFonts w:asciiTheme="minorHAnsi" w:hAnsiTheme="minorHAnsi"/>
          <w:i/>
          <w:iCs/>
        </w:rPr>
        <w:t xml:space="preserve">Help Wanted: Projections of Jobs and Education Requirements Through 2018, </w:t>
      </w:r>
      <w:r w:rsidRPr="00481605">
        <w:rPr>
          <w:rFonts w:asciiTheme="minorHAnsi" w:hAnsiTheme="minorHAnsi"/>
        </w:rPr>
        <w:t xml:space="preserve">Anthony P. </w:t>
      </w:r>
      <w:proofErr w:type="spellStart"/>
      <w:r w:rsidRPr="00481605">
        <w:rPr>
          <w:rFonts w:asciiTheme="minorHAnsi" w:hAnsiTheme="minorHAnsi"/>
        </w:rPr>
        <w:t>Carnevale</w:t>
      </w:r>
      <w:proofErr w:type="spellEnd"/>
      <w:r w:rsidRPr="00481605">
        <w:rPr>
          <w:rFonts w:asciiTheme="minorHAnsi" w:hAnsiTheme="minorHAnsi"/>
        </w:rPr>
        <w:t xml:space="preserve">, Nicole Smith, and Jeff </w:t>
      </w:r>
      <w:proofErr w:type="spellStart"/>
      <w:r w:rsidRPr="00481605">
        <w:rPr>
          <w:rFonts w:asciiTheme="minorHAnsi" w:hAnsiTheme="minorHAnsi"/>
        </w:rPr>
        <w:t>Strohl</w:t>
      </w:r>
      <w:proofErr w:type="spellEnd"/>
      <w:r w:rsidRPr="00481605">
        <w:rPr>
          <w:rFonts w:asciiTheme="minorHAnsi" w:hAnsiTheme="minorHAnsi"/>
        </w:rPr>
        <w:t xml:space="preserve">, McKinsey Global Institute, June 2010, </w:t>
      </w:r>
      <w:hyperlink r:id="rId8" w:history="1">
        <w:r w:rsidRPr="00481605">
          <w:rPr>
            <w:rStyle w:val="Hyperlink"/>
            <w:rFonts w:asciiTheme="minorHAnsi" w:hAnsiTheme="minorHAnsi"/>
          </w:rPr>
          <w:t>http://bit.ly/1FSRAPX</w:t>
        </w:r>
      </w:hyperlink>
    </w:p>
    <w:p w14:paraId="0CF78343" w14:textId="77777777" w:rsidR="00481605" w:rsidRPr="00481605" w:rsidRDefault="00481605" w:rsidP="00481605">
      <w:pPr>
        <w:pStyle w:val="Default"/>
        <w:rPr>
          <w:rFonts w:asciiTheme="minorHAnsi" w:hAnsiTheme="minorHAnsi"/>
        </w:rPr>
      </w:pPr>
    </w:p>
    <w:p w14:paraId="0E735737" w14:textId="77777777" w:rsidR="00481605" w:rsidRPr="00481605" w:rsidRDefault="00481605" w:rsidP="00481605">
      <w:pPr>
        <w:pStyle w:val="Default"/>
        <w:rPr>
          <w:rFonts w:asciiTheme="minorHAnsi" w:hAnsiTheme="minorHAnsi"/>
        </w:rPr>
      </w:pPr>
      <w:r w:rsidRPr="00481605">
        <w:rPr>
          <w:rFonts w:asciiTheme="minorHAnsi" w:hAnsiTheme="minorHAnsi"/>
          <w:i/>
          <w:iCs/>
        </w:rPr>
        <w:t>Portable, Stackable Credentials-A New Education Model for Industry-Specific Career Pathways</w:t>
      </w:r>
      <w:r w:rsidRPr="00481605">
        <w:rPr>
          <w:rFonts w:asciiTheme="minorHAnsi" w:hAnsiTheme="minorHAnsi"/>
        </w:rPr>
        <w:t xml:space="preserve">, James T. Austin, Gail Mellow, and Mitch Rosin, 2012, </w:t>
      </w:r>
      <w:hyperlink r:id="rId9" w:history="1">
        <w:r w:rsidRPr="00481605">
          <w:rPr>
            <w:rStyle w:val="Hyperlink"/>
            <w:rFonts w:asciiTheme="minorHAnsi" w:hAnsiTheme="minorHAnsi"/>
          </w:rPr>
          <w:t>http://bit.ly/1tFNGGh</w:t>
        </w:r>
      </w:hyperlink>
    </w:p>
    <w:p w14:paraId="79E5A375" w14:textId="77777777" w:rsidR="00481605" w:rsidRPr="00481605" w:rsidRDefault="00481605" w:rsidP="00481605">
      <w:pPr>
        <w:pStyle w:val="Default"/>
        <w:rPr>
          <w:rFonts w:asciiTheme="minorHAnsi" w:hAnsiTheme="minorHAnsi"/>
          <w:b/>
          <w:bCs/>
        </w:rPr>
      </w:pPr>
    </w:p>
    <w:p w14:paraId="228A9D43" w14:textId="0ED814AE" w:rsidR="00481605" w:rsidRPr="00481605" w:rsidRDefault="00481605" w:rsidP="00481605">
      <w:pPr>
        <w:pStyle w:val="Default"/>
        <w:rPr>
          <w:rFonts w:asciiTheme="minorHAnsi" w:hAnsiTheme="minorHAnsi"/>
          <w:color w:val="0000FF"/>
          <w:u w:val="single"/>
        </w:rPr>
      </w:pPr>
      <w:r w:rsidRPr="00481605">
        <w:rPr>
          <w:rFonts w:asciiTheme="minorHAnsi" w:hAnsiTheme="minorHAnsi"/>
          <w:i/>
          <w:iCs/>
        </w:rPr>
        <w:t>Across The Great Divide: Perspectives of CEOs and College Presidents on America’s Higher Education and Skills Gap Civic Enterprises</w:t>
      </w:r>
      <w:r w:rsidRPr="00481605">
        <w:rPr>
          <w:rFonts w:asciiTheme="minorHAnsi" w:hAnsiTheme="minorHAnsi"/>
        </w:rPr>
        <w:t xml:space="preserve">; John </w:t>
      </w:r>
      <w:proofErr w:type="spellStart"/>
      <w:r w:rsidRPr="00481605">
        <w:rPr>
          <w:rFonts w:asciiTheme="minorHAnsi" w:hAnsiTheme="minorHAnsi"/>
        </w:rPr>
        <w:t>Bridgeland</w:t>
      </w:r>
      <w:proofErr w:type="spellEnd"/>
      <w:r w:rsidRPr="00481605">
        <w:rPr>
          <w:rFonts w:asciiTheme="minorHAnsi" w:hAnsiTheme="minorHAnsi"/>
        </w:rPr>
        <w:t xml:space="preserve">, Jessica Milano, and Elyse Rosenblum, March 2011, </w:t>
      </w:r>
      <w:hyperlink r:id="rId10" w:history="1">
        <w:r w:rsidRPr="00481605">
          <w:rPr>
            <w:rStyle w:val="Hyperlink"/>
            <w:rFonts w:asciiTheme="minorHAnsi" w:hAnsiTheme="minorHAnsi"/>
          </w:rPr>
          <w:t>http://bit.ly/1pUWyl5</w:t>
        </w:r>
      </w:hyperlink>
    </w:p>
    <w:p w14:paraId="3ABFDFB1" w14:textId="77777777" w:rsidR="00481605" w:rsidRPr="00481605" w:rsidRDefault="00481605" w:rsidP="00481605">
      <w:pPr>
        <w:pStyle w:val="Default"/>
        <w:rPr>
          <w:rFonts w:asciiTheme="minorHAnsi" w:hAnsiTheme="minorHAnsi"/>
          <w:b/>
          <w:bCs/>
        </w:rPr>
      </w:pPr>
    </w:p>
    <w:p w14:paraId="7A7047AB" w14:textId="5409F3BD" w:rsidR="00481605" w:rsidRPr="00481605" w:rsidRDefault="00481605" w:rsidP="00481605">
      <w:pPr>
        <w:pStyle w:val="Default"/>
        <w:rPr>
          <w:rFonts w:asciiTheme="minorHAnsi" w:hAnsiTheme="minorHAnsi"/>
          <w:b/>
          <w:bCs/>
        </w:rPr>
      </w:pPr>
      <w:r w:rsidRPr="00481605">
        <w:rPr>
          <w:rFonts w:asciiTheme="minorHAnsi" w:hAnsiTheme="minorHAnsi"/>
          <w:b/>
          <w:bCs/>
        </w:rPr>
        <w:t>Funding</w:t>
      </w:r>
    </w:p>
    <w:p w14:paraId="407A6913" w14:textId="77777777" w:rsidR="00481605" w:rsidRPr="00481605" w:rsidRDefault="00481605" w:rsidP="00481605">
      <w:pPr>
        <w:pStyle w:val="Default"/>
        <w:rPr>
          <w:rStyle w:val="Hyperlink"/>
          <w:rFonts w:asciiTheme="minorHAnsi" w:hAnsiTheme="minorHAnsi"/>
          <w:iCs/>
        </w:rPr>
      </w:pPr>
      <w:r w:rsidRPr="00481605">
        <w:rPr>
          <w:rFonts w:asciiTheme="minorHAnsi" w:hAnsiTheme="minorHAnsi"/>
          <w:i/>
          <w:iCs/>
        </w:rPr>
        <w:t>Workforce Investments: State Strategies to Preserve Higher Cost Career Education Programs in Community and Technical Colleges, Institute for Higher Education Leadership &amp; Policy, 2013,</w:t>
      </w:r>
      <w:r w:rsidRPr="00481605">
        <w:rPr>
          <w:rFonts w:asciiTheme="minorHAnsi" w:hAnsiTheme="minorHAnsi"/>
          <w:iCs/>
        </w:rPr>
        <w:t xml:space="preserve"> </w:t>
      </w:r>
      <w:hyperlink r:id="rId11" w:history="1">
        <w:r w:rsidRPr="00481605">
          <w:rPr>
            <w:rStyle w:val="Hyperlink"/>
            <w:rFonts w:asciiTheme="minorHAnsi" w:hAnsiTheme="minorHAnsi"/>
            <w:iCs/>
          </w:rPr>
          <w:t>http://www.csus.edu/ihelp/PDFs/R_Workforce_Invest_0913.pdf</w:t>
        </w:r>
      </w:hyperlink>
    </w:p>
    <w:p w14:paraId="331DE4C8" w14:textId="77777777" w:rsidR="00481605" w:rsidRPr="00481605" w:rsidRDefault="00481605" w:rsidP="00481605">
      <w:pPr>
        <w:pStyle w:val="Default"/>
        <w:rPr>
          <w:rStyle w:val="Hyperlink"/>
          <w:rFonts w:asciiTheme="minorHAnsi" w:hAnsiTheme="minorHAnsi"/>
          <w:iCs/>
        </w:rPr>
      </w:pPr>
    </w:p>
    <w:p w14:paraId="1CDE8F32" w14:textId="77777777" w:rsidR="00481605" w:rsidRPr="00481605" w:rsidRDefault="00481605" w:rsidP="00481605">
      <w:pPr>
        <w:pStyle w:val="Default"/>
        <w:rPr>
          <w:rFonts w:asciiTheme="minorHAnsi" w:hAnsiTheme="minorHAnsi"/>
        </w:rPr>
      </w:pPr>
      <w:r w:rsidRPr="00481605">
        <w:rPr>
          <w:rFonts w:asciiTheme="minorHAnsi" w:hAnsiTheme="minorHAnsi"/>
          <w:i/>
          <w:iCs/>
        </w:rPr>
        <w:t>Shared Strategy for a Shared Prosperity-California’s Strategic Workforce Development Plan: 2013-17</w:t>
      </w:r>
      <w:r w:rsidRPr="00481605">
        <w:rPr>
          <w:rFonts w:asciiTheme="minorHAnsi" w:hAnsiTheme="minorHAnsi"/>
        </w:rPr>
        <w:t xml:space="preserve">, California Workforce Investment Board, </w:t>
      </w:r>
      <w:hyperlink r:id="rId12" w:history="1">
        <w:r w:rsidRPr="00481605">
          <w:rPr>
            <w:rStyle w:val="Hyperlink"/>
            <w:rFonts w:asciiTheme="minorHAnsi" w:hAnsiTheme="minorHAnsi"/>
          </w:rPr>
          <w:t>http://bit.ly/1sA0pUp</w:t>
        </w:r>
      </w:hyperlink>
    </w:p>
    <w:p w14:paraId="21283008" w14:textId="77777777" w:rsidR="00481605" w:rsidRPr="00481605" w:rsidRDefault="00481605" w:rsidP="00481605">
      <w:pPr>
        <w:pStyle w:val="Default"/>
        <w:rPr>
          <w:rFonts w:asciiTheme="minorHAnsi" w:hAnsiTheme="minorHAnsi"/>
          <w:b/>
          <w:bCs/>
        </w:rPr>
      </w:pPr>
    </w:p>
    <w:p w14:paraId="1DC76598" w14:textId="77777777" w:rsidR="00481605" w:rsidRPr="00481605" w:rsidRDefault="00481605" w:rsidP="00481605">
      <w:pPr>
        <w:pStyle w:val="Default"/>
        <w:rPr>
          <w:rFonts w:asciiTheme="minorHAnsi" w:hAnsiTheme="minorHAnsi"/>
        </w:rPr>
      </w:pPr>
      <w:r w:rsidRPr="00481605">
        <w:rPr>
          <w:rFonts w:asciiTheme="minorHAnsi" w:hAnsiTheme="minorHAnsi"/>
          <w:i/>
          <w:iCs/>
        </w:rPr>
        <w:lastRenderedPageBreak/>
        <w:t>Report of the CCCT CTE Task Force on Differential Funding for CTE Programs</w:t>
      </w:r>
      <w:r w:rsidRPr="00481605">
        <w:rPr>
          <w:rFonts w:asciiTheme="minorHAnsi" w:hAnsiTheme="minorHAnsi"/>
        </w:rPr>
        <w:t xml:space="preserve">, Jim Moreno and </w:t>
      </w:r>
      <w:proofErr w:type="spellStart"/>
      <w:r w:rsidRPr="00481605">
        <w:rPr>
          <w:rFonts w:asciiTheme="minorHAnsi" w:hAnsiTheme="minorHAnsi"/>
        </w:rPr>
        <w:t>Andreea</w:t>
      </w:r>
      <w:proofErr w:type="spellEnd"/>
      <w:r w:rsidRPr="00481605">
        <w:rPr>
          <w:rFonts w:asciiTheme="minorHAnsi" w:hAnsiTheme="minorHAnsi"/>
        </w:rPr>
        <w:t xml:space="preserve"> </w:t>
      </w:r>
      <w:proofErr w:type="spellStart"/>
      <w:r w:rsidRPr="00481605">
        <w:rPr>
          <w:rFonts w:asciiTheme="minorHAnsi" w:hAnsiTheme="minorHAnsi"/>
        </w:rPr>
        <w:t>Serban</w:t>
      </w:r>
      <w:proofErr w:type="spellEnd"/>
      <w:r w:rsidRPr="00481605">
        <w:rPr>
          <w:rFonts w:asciiTheme="minorHAnsi" w:hAnsiTheme="minorHAnsi"/>
        </w:rPr>
        <w:t xml:space="preserve">, January 2013, </w:t>
      </w:r>
      <w:hyperlink r:id="rId13" w:history="1">
        <w:r w:rsidRPr="00481605">
          <w:rPr>
            <w:rStyle w:val="Hyperlink"/>
            <w:rFonts w:asciiTheme="minorHAnsi" w:hAnsiTheme="minorHAnsi"/>
          </w:rPr>
          <w:t>http://bit.ly/1xAKv0v</w:t>
        </w:r>
      </w:hyperlink>
    </w:p>
    <w:p w14:paraId="05914506" w14:textId="77777777" w:rsidR="00481605" w:rsidRPr="00481605" w:rsidRDefault="00481605" w:rsidP="00481605"/>
    <w:p w14:paraId="3111B1A0" w14:textId="77777777" w:rsidR="00481605" w:rsidRPr="00481605" w:rsidRDefault="00481605" w:rsidP="00481605">
      <w:r w:rsidRPr="00481605">
        <w:rPr>
          <w:i/>
          <w:iCs/>
        </w:rPr>
        <w:t>Help Wanted: Professional Development and Training for Career and Technical Education Faculty</w:t>
      </w:r>
      <w:r w:rsidRPr="00481605">
        <w:t xml:space="preserve">, Krista D. </w:t>
      </w:r>
      <w:proofErr w:type="spellStart"/>
      <w:r w:rsidRPr="00481605">
        <w:t>Kerna</w:t>
      </w:r>
      <w:proofErr w:type="spellEnd"/>
      <w:r w:rsidRPr="00481605">
        <w:t xml:space="preserve">, International Journal of Vocational and Technical Education Vol. 4(3), pp. 38-45, March 2012, </w:t>
      </w:r>
      <w:hyperlink r:id="rId14" w:history="1">
        <w:r w:rsidRPr="00481605">
          <w:rPr>
            <w:rStyle w:val="Hyperlink"/>
          </w:rPr>
          <w:t>http://bit.ly/1waT5Vh</w:t>
        </w:r>
      </w:hyperlink>
    </w:p>
    <w:p w14:paraId="199CA4FA" w14:textId="54C96CB4" w:rsidR="00956EDC" w:rsidRPr="00481605" w:rsidRDefault="00956EDC" w:rsidP="00481605">
      <w:pPr>
        <w:widowControl w:val="0"/>
        <w:autoSpaceDE w:val="0"/>
        <w:autoSpaceDN w:val="0"/>
        <w:adjustRightInd w:val="0"/>
        <w:rPr>
          <w:rFonts w:eastAsia="ヒラギノ角ゴ Pro W3" w:cs="Times New Roman"/>
          <w:color w:val="000000"/>
        </w:rPr>
      </w:pPr>
    </w:p>
    <w:sectPr w:rsidR="00956EDC" w:rsidRPr="00481605" w:rsidSect="005B3C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AFD"/>
    <w:multiLevelType w:val="hybridMultilevel"/>
    <w:tmpl w:val="156AECD0"/>
    <w:lvl w:ilvl="0" w:tplc="7526B3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E5E7C"/>
    <w:multiLevelType w:val="hybridMultilevel"/>
    <w:tmpl w:val="156AECD0"/>
    <w:lvl w:ilvl="0" w:tplc="7526B3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B0915"/>
    <w:multiLevelType w:val="hybridMultilevel"/>
    <w:tmpl w:val="1CC0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25A7C"/>
    <w:multiLevelType w:val="hybridMultilevel"/>
    <w:tmpl w:val="156AECD0"/>
    <w:lvl w:ilvl="0" w:tplc="7526B3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78"/>
    <w:rsid w:val="0001025A"/>
    <w:rsid w:val="000A2E1E"/>
    <w:rsid w:val="00144AFD"/>
    <w:rsid w:val="00185D0B"/>
    <w:rsid w:val="001E4D7F"/>
    <w:rsid w:val="00234043"/>
    <w:rsid w:val="00275BF8"/>
    <w:rsid w:val="00402270"/>
    <w:rsid w:val="00481605"/>
    <w:rsid w:val="005B3CEE"/>
    <w:rsid w:val="005B48EC"/>
    <w:rsid w:val="00605F16"/>
    <w:rsid w:val="006823CB"/>
    <w:rsid w:val="00816982"/>
    <w:rsid w:val="008B5839"/>
    <w:rsid w:val="00920C02"/>
    <w:rsid w:val="009569A4"/>
    <w:rsid w:val="00956EDC"/>
    <w:rsid w:val="009E742C"/>
    <w:rsid w:val="009F3676"/>
    <w:rsid w:val="00A62371"/>
    <w:rsid w:val="00BA2258"/>
    <w:rsid w:val="00BB65BE"/>
    <w:rsid w:val="00C42622"/>
    <w:rsid w:val="00CD50B5"/>
    <w:rsid w:val="00CE7578"/>
    <w:rsid w:val="00DE3113"/>
    <w:rsid w:val="00E149A4"/>
    <w:rsid w:val="00E90B81"/>
    <w:rsid w:val="00F5327C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6DAE6"/>
  <w14:defaultImageDpi w14:val="300"/>
  <w15:docId w15:val="{404FFEEC-328B-4E2A-AF74-253937E5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578"/>
    <w:pPr>
      <w:ind w:left="720"/>
      <w:contextualSpacing/>
    </w:pPr>
  </w:style>
  <w:style w:type="paragraph" w:customStyle="1" w:styleId="Default">
    <w:name w:val="Default"/>
    <w:rsid w:val="0048160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81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FSRAPX" TargetMode="External"/><Relationship Id="rId13" Type="http://schemas.openxmlformats.org/officeDocument/2006/relationships/hyperlink" Target="http://bit.ly/1xAKv0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1tBRo2a" TargetMode="External"/><Relationship Id="rId12" Type="http://schemas.openxmlformats.org/officeDocument/2006/relationships/hyperlink" Target="http://bit.ly/1sA0pU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t.ly/1DXajrM" TargetMode="External"/><Relationship Id="rId11" Type="http://schemas.openxmlformats.org/officeDocument/2006/relationships/hyperlink" Target="http://www.csus.edu/ihelp/PDFs/R_Workforce_Invest_0913.pdf" TargetMode="External"/><Relationship Id="rId5" Type="http://schemas.openxmlformats.org/officeDocument/2006/relationships/hyperlink" Target="http://bit.ly/1DXaXW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t.ly/1pUWyl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tFNGGh" TargetMode="External"/><Relationship Id="rId14" Type="http://schemas.openxmlformats.org/officeDocument/2006/relationships/hyperlink" Target="http://bit.ly/1waT5V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Bruno</dc:creator>
  <cp:keywords/>
  <dc:description/>
  <cp:lastModifiedBy>Julie Adams</cp:lastModifiedBy>
  <cp:revision>2</cp:revision>
  <dcterms:created xsi:type="dcterms:W3CDTF">2015-02-13T19:06:00Z</dcterms:created>
  <dcterms:modified xsi:type="dcterms:W3CDTF">2015-02-13T19:06:00Z</dcterms:modified>
</cp:coreProperties>
</file>