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680E8" w14:textId="77777777" w:rsidR="000B7AF2" w:rsidRPr="005256C3" w:rsidRDefault="00E020C5" w:rsidP="00E020C5">
      <w:pPr>
        <w:jc w:val="center"/>
        <w:rPr>
          <w:b/>
          <w:sz w:val="22"/>
          <w:szCs w:val="22"/>
        </w:rPr>
      </w:pPr>
      <w:r w:rsidRPr="005256C3">
        <w:rPr>
          <w:b/>
          <w:sz w:val="22"/>
          <w:szCs w:val="22"/>
        </w:rPr>
        <w:t>General Education Equivalency – Worksheet and Documentation</w:t>
      </w:r>
    </w:p>
    <w:p w14:paraId="2D6C0BD7" w14:textId="77777777" w:rsidR="00E020C5" w:rsidRPr="005256C3" w:rsidRDefault="00E020C5">
      <w:pPr>
        <w:rPr>
          <w:sz w:val="22"/>
          <w:szCs w:val="22"/>
        </w:rPr>
      </w:pPr>
    </w:p>
    <w:p w14:paraId="250EFC7E" w14:textId="77777777" w:rsidR="005256C3" w:rsidRPr="005256C3" w:rsidRDefault="00E020C5" w:rsidP="00E020C5">
      <w:pPr>
        <w:rPr>
          <w:rFonts w:cs="Arial"/>
          <w:sz w:val="22"/>
          <w:szCs w:val="22"/>
        </w:rPr>
      </w:pPr>
      <w:r w:rsidRPr="005256C3">
        <w:rPr>
          <w:rFonts w:cs="Arial"/>
          <w:sz w:val="22"/>
          <w:szCs w:val="22"/>
        </w:rPr>
        <w:t>In a traditional Associate or Arts or Associate of Science degree, a student must complete a minimum of 60 semester (90 quarter) units</w:t>
      </w:r>
      <w:r w:rsidR="005256C3" w:rsidRPr="005256C3">
        <w:rPr>
          <w:rFonts w:cs="Arial"/>
          <w:sz w:val="22"/>
          <w:szCs w:val="22"/>
        </w:rPr>
        <w:t xml:space="preserve">. </w:t>
      </w:r>
      <w:r w:rsidRPr="005256C3">
        <w:rPr>
          <w:rFonts w:cs="Arial"/>
          <w:sz w:val="22"/>
          <w:szCs w:val="22"/>
        </w:rPr>
        <w:t xml:space="preserve">Of the total units required for a degree, at least 18 semester (27 quarter) units of general education coursework is required in addition to meeting competency requirements in written expression and mathematics and at least 18 semester (27 quarter) units of major preparation (Title 5 §55063). </w:t>
      </w:r>
      <w:r w:rsidR="005256C3" w:rsidRPr="005256C3">
        <w:rPr>
          <w:rFonts w:cs="Arial"/>
          <w:sz w:val="22"/>
          <w:szCs w:val="22"/>
        </w:rPr>
        <w:t xml:space="preserve">The major prep units are not generally in question for equivalency requests in CTE disciplines, but the need to meet all GE areas may be when coursework has not been completed. </w:t>
      </w:r>
    </w:p>
    <w:p w14:paraId="4AF928E4" w14:textId="77777777" w:rsidR="005256C3" w:rsidRPr="005256C3" w:rsidRDefault="005256C3" w:rsidP="00E020C5">
      <w:pPr>
        <w:rPr>
          <w:rFonts w:cs="Arial"/>
          <w:sz w:val="22"/>
          <w:szCs w:val="22"/>
        </w:rPr>
      </w:pPr>
    </w:p>
    <w:p w14:paraId="53A298BB" w14:textId="5815D025" w:rsidR="00E020C5" w:rsidRPr="005256C3" w:rsidRDefault="00E020C5" w:rsidP="00E020C5">
      <w:pPr>
        <w:rPr>
          <w:sz w:val="22"/>
          <w:szCs w:val="22"/>
        </w:rPr>
      </w:pPr>
      <w:r w:rsidRPr="005256C3">
        <w:rPr>
          <w:rFonts w:cs="Arial"/>
          <w:sz w:val="22"/>
          <w:szCs w:val="22"/>
        </w:rPr>
        <w:t xml:space="preserve">The eighteen units of general education is expected in the follow areas (Title </w:t>
      </w:r>
      <w:r w:rsidR="001144A2">
        <w:rPr>
          <w:rFonts w:cs="Arial"/>
          <w:sz w:val="22"/>
          <w:szCs w:val="22"/>
        </w:rPr>
        <w:t>5 §</w:t>
      </w:r>
      <w:bookmarkStart w:id="0" w:name="_GoBack"/>
      <w:bookmarkEnd w:id="0"/>
      <w:r w:rsidRPr="005256C3">
        <w:rPr>
          <w:rFonts w:cs="Arial"/>
          <w:sz w:val="22"/>
          <w:szCs w:val="22"/>
        </w:rPr>
        <w:t>55063 (b)(1)):</w:t>
      </w:r>
    </w:p>
    <w:p w14:paraId="1FCA18F9" w14:textId="77777777" w:rsidR="00E020C5" w:rsidRPr="005256C3" w:rsidRDefault="00E020C5">
      <w:pPr>
        <w:rPr>
          <w:sz w:val="22"/>
          <w:szCs w:val="22"/>
        </w:rPr>
      </w:pPr>
    </w:p>
    <w:tbl>
      <w:tblPr>
        <w:tblStyle w:val="TableGrid"/>
        <w:tblW w:w="0" w:type="auto"/>
        <w:tblLook w:val="04A0" w:firstRow="1" w:lastRow="0" w:firstColumn="1" w:lastColumn="0" w:noHBand="0" w:noVBand="1"/>
      </w:tblPr>
      <w:tblGrid>
        <w:gridCol w:w="6467"/>
        <w:gridCol w:w="3370"/>
      </w:tblGrid>
      <w:tr w:rsidR="0047340E" w:rsidRPr="005256C3" w14:paraId="39AFD740" w14:textId="77777777" w:rsidTr="00F254A4">
        <w:tc>
          <w:tcPr>
            <w:tcW w:w="6467" w:type="dxa"/>
          </w:tcPr>
          <w:p w14:paraId="7E2F0395" w14:textId="77777777" w:rsidR="0047340E" w:rsidRPr="005256C3" w:rsidRDefault="0047340E">
            <w:pPr>
              <w:rPr>
                <w:b/>
                <w:sz w:val="22"/>
                <w:szCs w:val="22"/>
              </w:rPr>
            </w:pPr>
            <w:r w:rsidRPr="005256C3">
              <w:rPr>
                <w:b/>
                <w:sz w:val="22"/>
                <w:szCs w:val="22"/>
              </w:rPr>
              <w:t>Description</w:t>
            </w:r>
          </w:p>
        </w:tc>
        <w:tc>
          <w:tcPr>
            <w:tcW w:w="3370" w:type="dxa"/>
          </w:tcPr>
          <w:p w14:paraId="6CA965B6" w14:textId="77777777" w:rsidR="0047340E" w:rsidRPr="005256C3" w:rsidRDefault="0047340E">
            <w:pPr>
              <w:rPr>
                <w:b/>
                <w:sz w:val="22"/>
                <w:szCs w:val="22"/>
              </w:rPr>
            </w:pPr>
            <w:r w:rsidRPr="005256C3">
              <w:rPr>
                <w:b/>
                <w:sz w:val="22"/>
                <w:szCs w:val="22"/>
              </w:rPr>
              <w:t>Evidence/Documentation</w:t>
            </w:r>
          </w:p>
        </w:tc>
      </w:tr>
      <w:tr w:rsidR="0047340E" w:rsidRPr="005256C3" w14:paraId="66491F54" w14:textId="77777777" w:rsidTr="00F254A4">
        <w:tc>
          <w:tcPr>
            <w:tcW w:w="6467" w:type="dxa"/>
          </w:tcPr>
          <w:p w14:paraId="34A87D6C" w14:textId="77777777" w:rsidR="0047340E" w:rsidRDefault="0047340E">
            <w:pPr>
              <w:rPr>
                <w:sz w:val="22"/>
                <w:szCs w:val="22"/>
              </w:rPr>
            </w:pPr>
            <w:r w:rsidRPr="005256C3">
              <w:rPr>
                <w:b/>
                <w:sz w:val="22"/>
                <w:szCs w:val="22"/>
              </w:rPr>
              <w:t>A. Natural Sciences</w:t>
            </w:r>
            <w:r w:rsidRPr="005256C3">
              <w:rPr>
                <w:sz w:val="22"/>
                <w:szCs w:val="22"/>
              </w:rPr>
              <w:t xml:space="preserve"> </w:t>
            </w:r>
          </w:p>
          <w:p w14:paraId="4D0D1CEC" w14:textId="3EE05CF2" w:rsidR="0047340E" w:rsidRPr="0047340E" w:rsidRDefault="0047340E">
            <w:pPr>
              <w:rPr>
                <w:rFonts w:eastAsia="Arial" w:cs="Arial"/>
                <w:color w:val="212121"/>
                <w:sz w:val="20"/>
                <w:szCs w:val="20"/>
              </w:rPr>
            </w:pPr>
            <w:r w:rsidRPr="0047340E">
              <w:rPr>
                <w:rFonts w:eastAsia="Arial" w:cs="Arial"/>
                <w:color w:val="212121"/>
                <w:sz w:val="20"/>
                <w:szCs w:val="20"/>
              </w:rPr>
              <w:t xml:space="preserve">Courses in the natural sciences are those which examine the physical universe, its life forms, and its natural phenomena. To satisfy the general education requirement in natural sciences, a course shall be designed to help the student develop an appreciation and understanding of the scientific method, and encourage an understanding of the relationships between science and other human activities </w:t>
            </w:r>
            <w:r w:rsidRPr="0047340E">
              <w:rPr>
                <w:rFonts w:cs="Arial"/>
                <w:sz w:val="20"/>
                <w:szCs w:val="20"/>
              </w:rPr>
              <w:t xml:space="preserve">(Title 5 §55063 (b)(1)(A)). </w:t>
            </w:r>
            <w:r w:rsidRPr="0047340E">
              <w:rPr>
                <w:rFonts w:eastAsia="Arial" w:cs="Arial"/>
                <w:color w:val="212121"/>
                <w:sz w:val="20"/>
                <w:szCs w:val="20"/>
              </w:rPr>
              <w:t>This category would include introductory or integrative courses in astronomy, biology, chemistry, general physical science, geology, meteorology, oceanography, physical geography, physical anthropology, physics and other scientific disciplines.</w:t>
            </w:r>
          </w:p>
          <w:p w14:paraId="0B1B7350" w14:textId="77777777" w:rsidR="0047340E" w:rsidRPr="005256C3" w:rsidRDefault="0047340E">
            <w:pPr>
              <w:rPr>
                <w:sz w:val="22"/>
                <w:szCs w:val="22"/>
              </w:rPr>
            </w:pPr>
          </w:p>
        </w:tc>
        <w:tc>
          <w:tcPr>
            <w:tcW w:w="3370" w:type="dxa"/>
          </w:tcPr>
          <w:p w14:paraId="372374EB" w14:textId="77777777" w:rsidR="0047340E" w:rsidRPr="005256C3" w:rsidRDefault="0047340E">
            <w:pPr>
              <w:rPr>
                <w:sz w:val="22"/>
                <w:szCs w:val="22"/>
              </w:rPr>
            </w:pPr>
          </w:p>
        </w:tc>
      </w:tr>
      <w:tr w:rsidR="0047340E" w:rsidRPr="005256C3" w14:paraId="1E458F52" w14:textId="77777777" w:rsidTr="00F254A4">
        <w:tc>
          <w:tcPr>
            <w:tcW w:w="6467" w:type="dxa"/>
          </w:tcPr>
          <w:p w14:paraId="55C79D1E" w14:textId="77777777" w:rsidR="0047340E" w:rsidRDefault="0047340E">
            <w:pPr>
              <w:rPr>
                <w:sz w:val="22"/>
                <w:szCs w:val="22"/>
              </w:rPr>
            </w:pPr>
            <w:r w:rsidRPr="005256C3">
              <w:rPr>
                <w:b/>
                <w:sz w:val="22"/>
                <w:szCs w:val="22"/>
              </w:rPr>
              <w:t>B. Social and Behavioral Sciences</w:t>
            </w:r>
            <w:r w:rsidRPr="005256C3">
              <w:rPr>
                <w:sz w:val="22"/>
                <w:szCs w:val="22"/>
              </w:rPr>
              <w:t xml:space="preserve"> </w:t>
            </w:r>
          </w:p>
          <w:p w14:paraId="2A916A33" w14:textId="3A2AF575" w:rsidR="0047340E" w:rsidRPr="0047340E" w:rsidRDefault="0047340E">
            <w:pPr>
              <w:rPr>
                <w:rFonts w:eastAsia="Arial" w:cs="Arial"/>
                <w:color w:val="212121"/>
                <w:sz w:val="20"/>
                <w:szCs w:val="20"/>
              </w:rPr>
            </w:pPr>
            <w:r w:rsidRPr="0047340E">
              <w:rPr>
                <w:rFonts w:eastAsia="Arial" w:cs="Arial"/>
                <w:color w:val="212121"/>
                <w:sz w:val="20"/>
                <w:szCs w:val="20"/>
              </w:rPr>
              <w:t xml:space="preserve">Courses in the social and behavioral sciences are those which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w:t>
            </w:r>
            <w:r w:rsidRPr="0047340E">
              <w:rPr>
                <w:rFonts w:cs="Arial"/>
                <w:sz w:val="20"/>
                <w:szCs w:val="20"/>
              </w:rPr>
              <w:t xml:space="preserve">(Title 5 §55063 (b)(1)(B)). </w:t>
            </w:r>
            <w:r w:rsidRPr="0047340E">
              <w:rPr>
                <w:rFonts w:eastAsia="Arial" w:cs="Arial"/>
                <w:color w:val="212121"/>
                <w:sz w:val="20"/>
                <w:szCs w:val="20"/>
              </w:rPr>
              <w:t>This category would include introductory or integrative survey courses in cultural anthropology, cultural geography, economics, history, political science, psychology, sociology and related disciplines</w:t>
            </w:r>
            <w:r>
              <w:rPr>
                <w:rFonts w:eastAsia="Arial" w:cs="Arial"/>
                <w:color w:val="212121"/>
                <w:sz w:val="20"/>
                <w:szCs w:val="20"/>
              </w:rPr>
              <w:t>.</w:t>
            </w:r>
          </w:p>
          <w:p w14:paraId="27A3FA73" w14:textId="77777777" w:rsidR="0047340E" w:rsidRPr="005256C3" w:rsidRDefault="0047340E">
            <w:pPr>
              <w:rPr>
                <w:sz w:val="22"/>
                <w:szCs w:val="22"/>
              </w:rPr>
            </w:pPr>
          </w:p>
        </w:tc>
        <w:tc>
          <w:tcPr>
            <w:tcW w:w="3370" w:type="dxa"/>
          </w:tcPr>
          <w:p w14:paraId="58CBD209" w14:textId="77777777" w:rsidR="0047340E" w:rsidRPr="005256C3" w:rsidRDefault="0047340E">
            <w:pPr>
              <w:rPr>
                <w:sz w:val="22"/>
                <w:szCs w:val="22"/>
              </w:rPr>
            </w:pPr>
          </w:p>
        </w:tc>
      </w:tr>
      <w:tr w:rsidR="0047340E" w:rsidRPr="005256C3" w14:paraId="49ADBA10" w14:textId="77777777" w:rsidTr="00F254A4">
        <w:tc>
          <w:tcPr>
            <w:tcW w:w="6467" w:type="dxa"/>
          </w:tcPr>
          <w:p w14:paraId="696A3287" w14:textId="77777777" w:rsidR="0047340E" w:rsidRDefault="0047340E">
            <w:pPr>
              <w:rPr>
                <w:rFonts w:eastAsia="Arial" w:cs="Arial"/>
                <w:color w:val="212121"/>
                <w:sz w:val="22"/>
                <w:szCs w:val="22"/>
              </w:rPr>
            </w:pPr>
            <w:r w:rsidRPr="005256C3">
              <w:rPr>
                <w:b/>
                <w:sz w:val="22"/>
                <w:szCs w:val="22"/>
              </w:rPr>
              <w:t>C. Humanities</w:t>
            </w:r>
            <w:r w:rsidRPr="005256C3">
              <w:rPr>
                <w:rFonts w:eastAsia="Arial" w:cs="Arial"/>
                <w:color w:val="212121"/>
                <w:sz w:val="22"/>
                <w:szCs w:val="22"/>
              </w:rPr>
              <w:t xml:space="preserve"> </w:t>
            </w:r>
          </w:p>
          <w:p w14:paraId="787BF749" w14:textId="2A215D88" w:rsidR="0047340E" w:rsidRPr="0047340E" w:rsidRDefault="0047340E">
            <w:pPr>
              <w:rPr>
                <w:rFonts w:eastAsia="Arial" w:cs="Arial"/>
                <w:color w:val="212121"/>
                <w:sz w:val="20"/>
                <w:szCs w:val="20"/>
              </w:rPr>
            </w:pPr>
            <w:r w:rsidRPr="0047340E">
              <w:rPr>
                <w:rFonts w:eastAsia="Arial" w:cs="Arial"/>
                <w:color w:val="212121"/>
                <w:sz w:val="20"/>
                <w:szCs w:val="20"/>
              </w:rPr>
              <w:t xml:space="preserve">Courses in the humanities are those which study the cultural activities and artistic expressions of human beings. To satisfy the general 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w:t>
            </w:r>
            <w:r w:rsidRPr="0047340E">
              <w:rPr>
                <w:rFonts w:cs="Arial"/>
                <w:sz w:val="20"/>
                <w:szCs w:val="20"/>
              </w:rPr>
              <w:t xml:space="preserve">(Title 5 §55063 (b)(1)(C)). </w:t>
            </w:r>
            <w:r w:rsidRPr="0047340E">
              <w:rPr>
                <w:rFonts w:eastAsia="Arial" w:cs="Arial"/>
                <w:color w:val="212121"/>
                <w:sz w:val="20"/>
                <w:szCs w:val="20"/>
              </w:rPr>
              <w:t>Such courses could include introductory or integrative courses in the arts, foreign languages, literature, philosophy, and religion.</w:t>
            </w:r>
          </w:p>
          <w:p w14:paraId="46CAAE6B" w14:textId="77777777" w:rsidR="0047340E" w:rsidRPr="005256C3" w:rsidRDefault="0047340E">
            <w:pPr>
              <w:rPr>
                <w:sz w:val="22"/>
                <w:szCs w:val="22"/>
              </w:rPr>
            </w:pPr>
          </w:p>
        </w:tc>
        <w:tc>
          <w:tcPr>
            <w:tcW w:w="3370" w:type="dxa"/>
          </w:tcPr>
          <w:p w14:paraId="6892254C" w14:textId="77777777" w:rsidR="0047340E" w:rsidRPr="005256C3" w:rsidRDefault="0047340E">
            <w:pPr>
              <w:rPr>
                <w:sz w:val="22"/>
                <w:szCs w:val="22"/>
              </w:rPr>
            </w:pPr>
          </w:p>
        </w:tc>
      </w:tr>
      <w:tr w:rsidR="0047340E" w:rsidRPr="005256C3" w14:paraId="46D5D97E" w14:textId="77777777" w:rsidTr="00F254A4">
        <w:tc>
          <w:tcPr>
            <w:tcW w:w="6467" w:type="dxa"/>
          </w:tcPr>
          <w:p w14:paraId="279FFB3D" w14:textId="33448F33" w:rsidR="0047340E" w:rsidRPr="0047340E" w:rsidRDefault="0047340E" w:rsidP="0047340E">
            <w:pPr>
              <w:rPr>
                <w:b/>
                <w:sz w:val="22"/>
                <w:szCs w:val="22"/>
              </w:rPr>
            </w:pPr>
            <w:r w:rsidRPr="005256C3">
              <w:rPr>
                <w:b/>
                <w:sz w:val="22"/>
                <w:szCs w:val="22"/>
              </w:rPr>
              <w:t>D.1. Language and Rationality: English Composition</w:t>
            </w:r>
            <w:r w:rsidRPr="005256C3">
              <w:rPr>
                <w:rFonts w:cs="Arial"/>
                <w:sz w:val="22"/>
                <w:szCs w:val="22"/>
              </w:rPr>
              <w:t xml:space="preserve"> </w:t>
            </w:r>
          </w:p>
          <w:p w14:paraId="7B9265C7" w14:textId="62894649" w:rsidR="0047340E" w:rsidRPr="00F254A4" w:rsidRDefault="0047340E">
            <w:pPr>
              <w:rPr>
                <w:rFonts w:cs="Arial"/>
                <w:sz w:val="20"/>
                <w:szCs w:val="20"/>
              </w:rPr>
            </w:pPr>
            <w:r w:rsidRPr="0047340E">
              <w:rPr>
                <w:rFonts w:cs="Arial"/>
                <w:sz w:val="20"/>
                <w:szCs w:val="20"/>
              </w:rPr>
              <w:t>Courses in language and rationality are those which develop for the student the principles and applications of language toward logical thought, clear and precise expression and critical evaluation of communication in whatever symbol system the student uses (Title 5 §55063 (b)(1)(D)). Such courses shall include both expository and argumentative writing.</w:t>
            </w:r>
          </w:p>
        </w:tc>
        <w:tc>
          <w:tcPr>
            <w:tcW w:w="3370" w:type="dxa"/>
          </w:tcPr>
          <w:p w14:paraId="3A576BF8" w14:textId="77777777" w:rsidR="0047340E" w:rsidRPr="005256C3" w:rsidRDefault="0047340E">
            <w:pPr>
              <w:rPr>
                <w:sz w:val="22"/>
                <w:szCs w:val="22"/>
              </w:rPr>
            </w:pPr>
          </w:p>
        </w:tc>
      </w:tr>
      <w:tr w:rsidR="0047340E" w:rsidRPr="005256C3" w14:paraId="4F23A221" w14:textId="77777777" w:rsidTr="00F254A4">
        <w:tc>
          <w:tcPr>
            <w:tcW w:w="6467" w:type="dxa"/>
          </w:tcPr>
          <w:p w14:paraId="1D8038E9" w14:textId="2917C673" w:rsidR="0047340E" w:rsidRPr="0047340E" w:rsidRDefault="0047340E" w:rsidP="0047340E">
            <w:pPr>
              <w:rPr>
                <w:b/>
                <w:sz w:val="22"/>
                <w:szCs w:val="22"/>
              </w:rPr>
            </w:pPr>
            <w:r w:rsidRPr="0047340E">
              <w:rPr>
                <w:b/>
                <w:sz w:val="22"/>
                <w:szCs w:val="22"/>
              </w:rPr>
              <w:lastRenderedPageBreak/>
              <w:t>D.2. Language and Rationality: Communication and Analytical Thinking</w:t>
            </w:r>
            <w:r w:rsidRPr="0047340E">
              <w:rPr>
                <w:rFonts w:cs="Arial"/>
                <w:sz w:val="22"/>
                <w:szCs w:val="22"/>
              </w:rPr>
              <w:t xml:space="preserve"> </w:t>
            </w:r>
          </w:p>
          <w:p w14:paraId="7112E8B8" w14:textId="5B13FE83" w:rsidR="0047340E" w:rsidRPr="005256C3" w:rsidRDefault="0047340E" w:rsidP="0047340E">
            <w:pPr>
              <w:rPr>
                <w:sz w:val="22"/>
                <w:szCs w:val="22"/>
              </w:rPr>
            </w:pPr>
            <w:r w:rsidRPr="0047340E">
              <w:rPr>
                <w:rFonts w:cs="Arial"/>
                <w:sz w:val="20"/>
                <w:szCs w:val="20"/>
              </w:rPr>
              <w:t>Courses in language and rationality are those which develop for the student the principles and applications of language toward logical thought, clear and precise expression and critical evaluation of communication in whatever symbol system the student uses (Title 5 §55063 (b)(1)(D)). Such courses shall include Intermediate Algebra or another mathematics course at the same level, with the same rigor and with Elementary Algebra as a prerequisite.</w:t>
            </w:r>
          </w:p>
        </w:tc>
        <w:tc>
          <w:tcPr>
            <w:tcW w:w="3370" w:type="dxa"/>
          </w:tcPr>
          <w:p w14:paraId="7D76BC52" w14:textId="77777777" w:rsidR="0047340E" w:rsidRPr="005256C3" w:rsidRDefault="0047340E">
            <w:pPr>
              <w:rPr>
                <w:sz w:val="22"/>
                <w:szCs w:val="22"/>
              </w:rPr>
            </w:pPr>
          </w:p>
        </w:tc>
      </w:tr>
    </w:tbl>
    <w:p w14:paraId="250FAE12" w14:textId="77777777" w:rsidR="00E020C5" w:rsidRPr="005256C3" w:rsidRDefault="00E020C5">
      <w:pPr>
        <w:rPr>
          <w:sz w:val="22"/>
          <w:szCs w:val="22"/>
        </w:rPr>
      </w:pPr>
    </w:p>
    <w:p w14:paraId="6595B976" w14:textId="77777777" w:rsidR="00E020C5" w:rsidRPr="005256C3" w:rsidRDefault="00E020C5">
      <w:pPr>
        <w:rPr>
          <w:sz w:val="22"/>
          <w:szCs w:val="22"/>
        </w:rPr>
      </w:pPr>
    </w:p>
    <w:p w14:paraId="518F8F0B" w14:textId="77777777" w:rsidR="00E020C5" w:rsidRPr="005256C3" w:rsidRDefault="005256C3">
      <w:pPr>
        <w:rPr>
          <w:sz w:val="22"/>
          <w:szCs w:val="22"/>
        </w:rPr>
      </w:pPr>
      <w:r w:rsidRPr="005256C3">
        <w:rPr>
          <w:sz w:val="22"/>
          <w:szCs w:val="22"/>
        </w:rPr>
        <w:t>Ethnic Studies Requirement and Competency in Written Expression and Mathematics</w:t>
      </w:r>
    </w:p>
    <w:p w14:paraId="0B6F875E" w14:textId="77777777" w:rsidR="005256C3" w:rsidRPr="005256C3" w:rsidRDefault="005256C3">
      <w:pPr>
        <w:rPr>
          <w:sz w:val="22"/>
          <w:szCs w:val="22"/>
        </w:rPr>
      </w:pPr>
    </w:p>
    <w:tbl>
      <w:tblPr>
        <w:tblStyle w:val="TableGrid"/>
        <w:tblW w:w="0" w:type="auto"/>
        <w:tblLook w:val="04A0" w:firstRow="1" w:lastRow="0" w:firstColumn="1" w:lastColumn="0" w:noHBand="0" w:noVBand="1"/>
      </w:tblPr>
      <w:tblGrid>
        <w:gridCol w:w="6197"/>
        <w:gridCol w:w="3780"/>
      </w:tblGrid>
      <w:tr w:rsidR="0047340E" w:rsidRPr="005256C3" w14:paraId="1F1C305B" w14:textId="77777777" w:rsidTr="0047340E">
        <w:tc>
          <w:tcPr>
            <w:tcW w:w="6197" w:type="dxa"/>
          </w:tcPr>
          <w:p w14:paraId="495F366D" w14:textId="77777777" w:rsidR="0047340E" w:rsidRPr="0047340E" w:rsidRDefault="0047340E" w:rsidP="0047340E">
            <w:pPr>
              <w:rPr>
                <w:b/>
                <w:sz w:val="22"/>
                <w:szCs w:val="22"/>
              </w:rPr>
            </w:pPr>
            <w:r w:rsidRPr="0047340E">
              <w:rPr>
                <w:b/>
                <w:sz w:val="22"/>
                <w:szCs w:val="22"/>
              </w:rPr>
              <w:t>Ethnic Studies (if not met in areas B or C)</w:t>
            </w:r>
          </w:p>
          <w:p w14:paraId="57218156" w14:textId="64B7DE25" w:rsidR="0047340E" w:rsidRPr="0047340E" w:rsidRDefault="0047340E" w:rsidP="0047340E">
            <w:pPr>
              <w:rPr>
                <w:b/>
                <w:sz w:val="20"/>
                <w:szCs w:val="20"/>
              </w:rPr>
            </w:pPr>
            <w:r w:rsidRPr="0047340E">
              <w:rPr>
                <w:rFonts w:cs="Arial"/>
                <w:sz w:val="20"/>
                <w:szCs w:val="20"/>
              </w:rPr>
              <w:t>Ethnic Studies must be addressed in General Education (Title 5 §55063 (b)(2))</w:t>
            </w:r>
          </w:p>
          <w:p w14:paraId="3B6BACAA" w14:textId="77777777" w:rsidR="0047340E" w:rsidRPr="0047340E" w:rsidRDefault="0047340E" w:rsidP="00E020C5">
            <w:pPr>
              <w:rPr>
                <w:rFonts w:cs="Arial"/>
                <w:sz w:val="20"/>
                <w:szCs w:val="20"/>
              </w:rPr>
            </w:pPr>
          </w:p>
          <w:p w14:paraId="2CCBC93B" w14:textId="77777777" w:rsidR="0047340E" w:rsidRPr="005256C3" w:rsidRDefault="0047340E" w:rsidP="00776F3B">
            <w:pPr>
              <w:rPr>
                <w:rFonts w:cs="Arial"/>
                <w:sz w:val="22"/>
                <w:szCs w:val="22"/>
              </w:rPr>
            </w:pPr>
            <w:r w:rsidRPr="0047340E">
              <w:rPr>
                <w:rFonts w:cs="Arial"/>
                <w:sz w:val="20"/>
                <w:szCs w:val="20"/>
              </w:rPr>
              <w:t>Document evidence if not already ES requirement not already met in Areas B or C</w:t>
            </w:r>
          </w:p>
          <w:p w14:paraId="20F39D40" w14:textId="77777777" w:rsidR="0047340E" w:rsidRPr="005256C3" w:rsidRDefault="0047340E" w:rsidP="00776F3B">
            <w:pPr>
              <w:rPr>
                <w:rFonts w:cs="Arial"/>
                <w:sz w:val="22"/>
                <w:szCs w:val="22"/>
              </w:rPr>
            </w:pPr>
          </w:p>
        </w:tc>
        <w:tc>
          <w:tcPr>
            <w:tcW w:w="3780" w:type="dxa"/>
          </w:tcPr>
          <w:p w14:paraId="3CE4584C" w14:textId="77777777" w:rsidR="0047340E" w:rsidRPr="005256C3" w:rsidRDefault="0047340E" w:rsidP="00776F3B">
            <w:pPr>
              <w:rPr>
                <w:sz w:val="22"/>
                <w:szCs w:val="22"/>
              </w:rPr>
            </w:pPr>
          </w:p>
        </w:tc>
      </w:tr>
      <w:tr w:rsidR="0047340E" w:rsidRPr="005256C3" w14:paraId="552F5F7F" w14:textId="77777777" w:rsidTr="0047340E">
        <w:tc>
          <w:tcPr>
            <w:tcW w:w="6197" w:type="dxa"/>
          </w:tcPr>
          <w:p w14:paraId="5AE33DA9" w14:textId="77777777" w:rsidR="0047340E" w:rsidRDefault="0047340E" w:rsidP="0047340E">
            <w:pPr>
              <w:rPr>
                <w:b/>
                <w:sz w:val="22"/>
                <w:szCs w:val="22"/>
              </w:rPr>
            </w:pPr>
            <w:r w:rsidRPr="005256C3">
              <w:rPr>
                <w:b/>
                <w:sz w:val="22"/>
                <w:szCs w:val="22"/>
              </w:rPr>
              <w:t xml:space="preserve">Competency: Written Expression </w:t>
            </w:r>
          </w:p>
          <w:p w14:paraId="7E1C0EAA" w14:textId="5AC16CEF" w:rsidR="0047340E" w:rsidRDefault="0047340E" w:rsidP="0047340E">
            <w:pPr>
              <w:rPr>
                <w:b/>
                <w:sz w:val="22"/>
                <w:szCs w:val="22"/>
              </w:rPr>
            </w:pPr>
            <w:r w:rsidRPr="005256C3">
              <w:rPr>
                <w:b/>
                <w:sz w:val="22"/>
                <w:szCs w:val="22"/>
              </w:rPr>
              <w:t>(if not met in Area D.1.)</w:t>
            </w:r>
          </w:p>
          <w:p w14:paraId="0CFFD110" w14:textId="156B9296" w:rsidR="0047340E" w:rsidRPr="00F254A4" w:rsidRDefault="0047340E" w:rsidP="0047340E">
            <w:pPr>
              <w:rPr>
                <w:b/>
                <w:sz w:val="20"/>
                <w:szCs w:val="20"/>
              </w:rPr>
            </w:pPr>
            <w:r w:rsidRPr="00F254A4">
              <w:rPr>
                <w:rFonts w:cs="Arial"/>
                <w:sz w:val="20"/>
                <w:szCs w:val="20"/>
              </w:rPr>
              <w:t>Competence in written expression shall be demonstrated by obtaining a satisfactory grade in an English course at the level of the course typically known as Freshman Composition. Satisfactory completion of an English course at the level of Freshman Composition shall satisfy both this competency requirement and the Area D.1. Language and Rationality: English Composition coursework requirement (Title 5 §55063).</w:t>
            </w:r>
          </w:p>
          <w:p w14:paraId="4D04017E" w14:textId="77777777" w:rsidR="0047340E" w:rsidRPr="00F254A4" w:rsidRDefault="0047340E" w:rsidP="00776F3B">
            <w:pPr>
              <w:rPr>
                <w:rFonts w:cs="Arial"/>
                <w:sz w:val="20"/>
                <w:szCs w:val="20"/>
              </w:rPr>
            </w:pPr>
          </w:p>
          <w:p w14:paraId="2DBA1ED5" w14:textId="77777777" w:rsidR="0047340E" w:rsidRPr="005256C3" w:rsidRDefault="0047340E" w:rsidP="00776F3B">
            <w:pPr>
              <w:rPr>
                <w:rFonts w:cs="Arial"/>
                <w:sz w:val="22"/>
                <w:szCs w:val="22"/>
              </w:rPr>
            </w:pPr>
            <w:r w:rsidRPr="00F254A4">
              <w:rPr>
                <w:rFonts w:cs="Arial"/>
                <w:sz w:val="20"/>
                <w:szCs w:val="20"/>
              </w:rPr>
              <w:t>Document evidence if competency in written expression is not already met in area D.1</w:t>
            </w:r>
            <w:r w:rsidRPr="005256C3">
              <w:rPr>
                <w:rFonts w:cs="Arial"/>
                <w:sz w:val="22"/>
                <w:szCs w:val="22"/>
              </w:rPr>
              <w:t>.</w:t>
            </w:r>
          </w:p>
          <w:p w14:paraId="583DA5F9" w14:textId="77777777" w:rsidR="0047340E" w:rsidRPr="005256C3" w:rsidRDefault="0047340E" w:rsidP="00776F3B">
            <w:pPr>
              <w:rPr>
                <w:sz w:val="22"/>
                <w:szCs w:val="22"/>
              </w:rPr>
            </w:pPr>
          </w:p>
        </w:tc>
        <w:tc>
          <w:tcPr>
            <w:tcW w:w="3780" w:type="dxa"/>
          </w:tcPr>
          <w:p w14:paraId="50151E11" w14:textId="77777777" w:rsidR="0047340E" w:rsidRPr="005256C3" w:rsidRDefault="0047340E" w:rsidP="00776F3B">
            <w:pPr>
              <w:rPr>
                <w:sz w:val="22"/>
                <w:szCs w:val="22"/>
              </w:rPr>
            </w:pPr>
          </w:p>
        </w:tc>
      </w:tr>
      <w:tr w:rsidR="0047340E" w:rsidRPr="005256C3" w14:paraId="10AA5661" w14:textId="77777777" w:rsidTr="0047340E">
        <w:tc>
          <w:tcPr>
            <w:tcW w:w="6197" w:type="dxa"/>
          </w:tcPr>
          <w:p w14:paraId="677E0B5A" w14:textId="77777777" w:rsidR="0047340E" w:rsidRPr="005256C3" w:rsidRDefault="0047340E" w:rsidP="0047340E">
            <w:pPr>
              <w:rPr>
                <w:b/>
                <w:sz w:val="22"/>
                <w:szCs w:val="22"/>
              </w:rPr>
            </w:pPr>
            <w:r w:rsidRPr="005256C3">
              <w:rPr>
                <w:b/>
                <w:sz w:val="22"/>
                <w:szCs w:val="22"/>
              </w:rPr>
              <w:t xml:space="preserve">Competency: Mathematics </w:t>
            </w:r>
          </w:p>
          <w:p w14:paraId="638343CF" w14:textId="77777777" w:rsidR="0047340E" w:rsidRDefault="0047340E" w:rsidP="0047340E">
            <w:pPr>
              <w:rPr>
                <w:b/>
                <w:sz w:val="22"/>
                <w:szCs w:val="22"/>
              </w:rPr>
            </w:pPr>
            <w:r w:rsidRPr="005256C3">
              <w:rPr>
                <w:b/>
                <w:sz w:val="22"/>
                <w:szCs w:val="22"/>
              </w:rPr>
              <w:t>(if not met in Area D.2.)</w:t>
            </w:r>
          </w:p>
          <w:p w14:paraId="244A4C66" w14:textId="3DCD3D4F" w:rsidR="0047340E" w:rsidRPr="00F254A4" w:rsidRDefault="0047340E" w:rsidP="0047340E">
            <w:pPr>
              <w:rPr>
                <w:rFonts w:cs="Arial"/>
                <w:sz w:val="20"/>
                <w:szCs w:val="20"/>
              </w:rPr>
            </w:pPr>
            <w:r w:rsidRPr="00F254A4">
              <w:rPr>
                <w:rFonts w:cs="Arial"/>
                <w:sz w:val="20"/>
                <w:szCs w:val="20"/>
              </w:rPr>
              <w:t>Competence in mathematics shall be demonstrated by obtaining a satisfactory grade in a mathematics course at the level of the course typically known as Intermediate Algebra (either Intermediate Algebra or another mathematics course at the same level, with the same rigor and with Elementary Algebra as a prerequisite, approved locally). Satisfactory completion of a mathematics course at the level of Intermediate Algebra shall satisfy both this competency requirement and the Area D.2 Language and Rationality: Communication and Analytical Thinking coursework (Title 5 §55063).</w:t>
            </w:r>
          </w:p>
          <w:p w14:paraId="5161B5E7" w14:textId="77777777" w:rsidR="0047340E" w:rsidRPr="00F254A4" w:rsidRDefault="0047340E" w:rsidP="00776F3B">
            <w:pPr>
              <w:rPr>
                <w:sz w:val="20"/>
                <w:szCs w:val="20"/>
              </w:rPr>
            </w:pPr>
          </w:p>
          <w:p w14:paraId="2C8C3862" w14:textId="77777777" w:rsidR="0047340E" w:rsidRPr="005256C3" w:rsidRDefault="0047340E" w:rsidP="00E020C5">
            <w:pPr>
              <w:rPr>
                <w:rFonts w:cs="Arial"/>
                <w:sz w:val="22"/>
                <w:szCs w:val="22"/>
              </w:rPr>
            </w:pPr>
            <w:r w:rsidRPr="00F254A4">
              <w:rPr>
                <w:rFonts w:cs="Arial"/>
                <w:sz w:val="20"/>
                <w:szCs w:val="20"/>
              </w:rPr>
              <w:t>Document evidence if competency in mathematics is not already met in area D.2.</w:t>
            </w:r>
          </w:p>
          <w:p w14:paraId="1A5BDCCC" w14:textId="77777777" w:rsidR="0047340E" w:rsidRPr="005256C3" w:rsidRDefault="0047340E" w:rsidP="00776F3B">
            <w:pPr>
              <w:rPr>
                <w:sz w:val="22"/>
                <w:szCs w:val="22"/>
              </w:rPr>
            </w:pPr>
          </w:p>
        </w:tc>
        <w:tc>
          <w:tcPr>
            <w:tcW w:w="3780" w:type="dxa"/>
          </w:tcPr>
          <w:p w14:paraId="513245BD" w14:textId="77777777" w:rsidR="0047340E" w:rsidRPr="005256C3" w:rsidRDefault="0047340E" w:rsidP="00776F3B">
            <w:pPr>
              <w:rPr>
                <w:sz w:val="22"/>
                <w:szCs w:val="22"/>
              </w:rPr>
            </w:pPr>
          </w:p>
        </w:tc>
      </w:tr>
    </w:tbl>
    <w:p w14:paraId="71C07E3C" w14:textId="77777777" w:rsidR="00E020C5" w:rsidRPr="005256C3" w:rsidRDefault="00E020C5">
      <w:pPr>
        <w:rPr>
          <w:sz w:val="22"/>
          <w:szCs w:val="22"/>
        </w:rPr>
      </w:pPr>
    </w:p>
    <w:sectPr w:rsidR="00E020C5" w:rsidRPr="005256C3" w:rsidSect="005256C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70A44"/>
    <w:multiLevelType w:val="hybridMultilevel"/>
    <w:tmpl w:val="24C6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C5"/>
    <w:rsid w:val="001144A2"/>
    <w:rsid w:val="0047340E"/>
    <w:rsid w:val="004C78A8"/>
    <w:rsid w:val="005256C3"/>
    <w:rsid w:val="007110A1"/>
    <w:rsid w:val="00844C84"/>
    <w:rsid w:val="00DC0E3B"/>
    <w:rsid w:val="00E020C5"/>
    <w:rsid w:val="00F254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DFA5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20C5"/>
    <w:pPr>
      <w:ind w:left="720"/>
      <w:contextualSpacing/>
    </w:pPr>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812</Words>
  <Characters>4632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2019-04-24T00:13:00Z</dcterms:created>
  <dcterms:modified xsi:type="dcterms:W3CDTF">2019-05-07T15:24:00Z</dcterms:modified>
</cp:coreProperties>
</file>