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096" w:rsidRDefault="006D0F4F" w:rsidP="00724564">
      <w:pPr>
        <w:spacing w:after="0" w:line="240" w:lineRule="auto"/>
        <w:rPr>
          <w:sz w:val="24"/>
        </w:rPr>
      </w:pPr>
      <w:bookmarkStart w:id="0" w:name="_GoBack"/>
      <w:bookmarkEnd w:id="0"/>
      <w:r w:rsidRPr="006D0F4F">
        <w:rPr>
          <w:sz w:val="24"/>
        </w:rPr>
        <w:t xml:space="preserve">This document is a collection of various </w:t>
      </w:r>
      <w:r w:rsidR="00F919C9">
        <w:rPr>
          <w:sz w:val="24"/>
        </w:rPr>
        <w:t>considerations</w:t>
      </w:r>
      <w:r w:rsidRPr="006D0F4F">
        <w:rPr>
          <w:sz w:val="24"/>
        </w:rPr>
        <w:t xml:space="preserve"> colleges have used to guide their construction of meta-majors. No college has used all of these, but rather a combination that suited their ability to move forward consistent with their college mission vision and values, while providing assurances of iterative review and data analysis going forward with the Guided Pathways Transformation.</w:t>
      </w:r>
      <w:r w:rsidR="00C47096" w:rsidRPr="00C47096">
        <w:rPr>
          <w:sz w:val="24"/>
        </w:rPr>
        <w:t xml:space="preserve"> </w:t>
      </w:r>
      <w:r w:rsidR="00C47096">
        <w:rPr>
          <w:sz w:val="24"/>
        </w:rPr>
        <w:t xml:space="preserve">The initial step included research into other colleges’ construction of meta-majors, the number, type and purpose. Begin by defining what you hope meta-majors will do for your college and your students. Then consider the following questions to create some guidelines for </w:t>
      </w:r>
      <w:r w:rsidR="00F919C9">
        <w:rPr>
          <w:sz w:val="24"/>
        </w:rPr>
        <w:t>the process of defining meta-majors. The task is grouping programs based on a purpose and college-specific guidelines.</w:t>
      </w:r>
    </w:p>
    <w:tbl>
      <w:tblPr>
        <w:tblStyle w:val="TableGrid"/>
        <w:tblW w:w="13518" w:type="dxa"/>
        <w:tblLook w:val="04A0" w:firstRow="1" w:lastRow="0" w:firstColumn="1" w:lastColumn="0" w:noHBand="0" w:noVBand="1"/>
      </w:tblPr>
      <w:tblGrid>
        <w:gridCol w:w="4248"/>
        <w:gridCol w:w="4950"/>
        <w:gridCol w:w="4320"/>
      </w:tblGrid>
      <w:tr w:rsidR="00740A76" w:rsidTr="00724564">
        <w:trPr>
          <w:tblHeader/>
        </w:trPr>
        <w:tc>
          <w:tcPr>
            <w:tcW w:w="4248" w:type="dxa"/>
            <w:shd w:val="clear" w:color="auto" w:fill="E7E6E6" w:themeFill="background2"/>
          </w:tcPr>
          <w:p w:rsidR="00740A76" w:rsidRDefault="00740A76" w:rsidP="00740A76">
            <w:pPr>
              <w:rPr>
                <w:b/>
                <w:sz w:val="28"/>
              </w:rPr>
            </w:pPr>
            <w:r>
              <w:rPr>
                <w:b/>
                <w:sz w:val="24"/>
              </w:rPr>
              <w:t xml:space="preserve">Questions/ Considerations for </w:t>
            </w:r>
            <w:r w:rsidRPr="00B3180B">
              <w:rPr>
                <w:b/>
                <w:sz w:val="24"/>
              </w:rPr>
              <w:t>developing</w:t>
            </w:r>
          </w:p>
        </w:tc>
        <w:tc>
          <w:tcPr>
            <w:tcW w:w="4950" w:type="dxa"/>
            <w:shd w:val="clear" w:color="auto" w:fill="E7E6E6" w:themeFill="background2"/>
          </w:tcPr>
          <w:p w:rsidR="00740A76" w:rsidRDefault="00740A76" w:rsidP="00740A76">
            <w:pPr>
              <w:rPr>
                <w:sz w:val="24"/>
              </w:rPr>
            </w:pPr>
            <w:r w:rsidRPr="00B3180B">
              <w:rPr>
                <w:b/>
                <w:sz w:val="24"/>
              </w:rPr>
              <w:t>Examples of how this may affect implementation &amp; decision making</w:t>
            </w:r>
          </w:p>
        </w:tc>
        <w:tc>
          <w:tcPr>
            <w:tcW w:w="4320" w:type="dxa"/>
            <w:shd w:val="clear" w:color="auto" w:fill="E7E6E6" w:themeFill="background2"/>
          </w:tcPr>
          <w:p w:rsidR="00740A76" w:rsidRDefault="00740A76" w:rsidP="00740A76">
            <w:pPr>
              <w:rPr>
                <w:b/>
                <w:sz w:val="24"/>
              </w:rPr>
            </w:pPr>
            <w:r>
              <w:rPr>
                <w:b/>
                <w:sz w:val="24"/>
              </w:rPr>
              <w:t xml:space="preserve">1. </w:t>
            </w:r>
            <w:r w:rsidRPr="007C7E54">
              <w:rPr>
                <w:b/>
                <w:sz w:val="24"/>
              </w:rPr>
              <w:t xml:space="preserve">Is this question relevant for your college? </w:t>
            </w:r>
          </w:p>
          <w:p w:rsidR="00740A76" w:rsidRDefault="00740A76" w:rsidP="00740A76">
            <w:pPr>
              <w:rPr>
                <w:b/>
                <w:sz w:val="24"/>
              </w:rPr>
            </w:pPr>
            <w:r>
              <w:rPr>
                <w:b/>
                <w:sz w:val="24"/>
              </w:rPr>
              <w:t xml:space="preserve">2. </w:t>
            </w:r>
            <w:r w:rsidRPr="007C7E54">
              <w:rPr>
                <w:b/>
                <w:sz w:val="24"/>
              </w:rPr>
              <w:t xml:space="preserve">Who should attend these discussions? </w:t>
            </w:r>
          </w:p>
          <w:p w:rsidR="00740A76" w:rsidRDefault="00740A76" w:rsidP="00740A76">
            <w:pPr>
              <w:rPr>
                <w:sz w:val="24"/>
              </w:rPr>
            </w:pPr>
            <w:r>
              <w:rPr>
                <w:b/>
                <w:sz w:val="24"/>
              </w:rPr>
              <w:t xml:space="preserve">3. </w:t>
            </w:r>
            <w:r w:rsidRPr="007C7E54">
              <w:rPr>
                <w:b/>
                <w:sz w:val="24"/>
              </w:rPr>
              <w:t>Who makes the final decision?</w:t>
            </w:r>
          </w:p>
        </w:tc>
      </w:tr>
      <w:tr w:rsidR="00740A76" w:rsidTr="00724564">
        <w:tc>
          <w:tcPr>
            <w:tcW w:w="4248" w:type="dxa"/>
          </w:tcPr>
          <w:p w:rsidR="00740A76" w:rsidRPr="005E0CA2" w:rsidRDefault="00740A76" w:rsidP="00452297">
            <w:pPr>
              <w:numPr>
                <w:ilvl w:val="0"/>
                <w:numId w:val="1"/>
              </w:numPr>
              <w:tabs>
                <w:tab w:val="clear" w:pos="720"/>
                <w:tab w:val="num" w:pos="450"/>
              </w:tabs>
              <w:ind w:left="360" w:hanging="270"/>
              <w:rPr>
                <w:sz w:val="24"/>
              </w:rPr>
            </w:pPr>
            <w:r>
              <w:rPr>
                <w:sz w:val="24"/>
              </w:rPr>
              <w:t>Will g</w:t>
            </w:r>
            <w:r w:rsidRPr="005E0CA2">
              <w:rPr>
                <w:sz w:val="24"/>
              </w:rPr>
              <w:t xml:space="preserve">eneral education </w:t>
            </w:r>
            <w:r>
              <w:rPr>
                <w:sz w:val="24"/>
              </w:rPr>
              <w:t>be</w:t>
            </w:r>
            <w:r w:rsidRPr="005E0CA2">
              <w:rPr>
                <w:sz w:val="24"/>
              </w:rPr>
              <w:t xml:space="preserve"> considered </w:t>
            </w:r>
            <w:r>
              <w:rPr>
                <w:sz w:val="24"/>
              </w:rPr>
              <w:t>while mapping programs?</w:t>
            </w:r>
          </w:p>
        </w:tc>
        <w:tc>
          <w:tcPr>
            <w:tcW w:w="4950" w:type="dxa"/>
          </w:tcPr>
          <w:p w:rsidR="00740A76" w:rsidRPr="001B0C63" w:rsidRDefault="00740A76" w:rsidP="00487E34">
            <w:pPr>
              <w:rPr>
                <w:sz w:val="24"/>
              </w:rPr>
            </w:pPr>
            <w:r>
              <w:rPr>
                <w:sz w:val="24"/>
              </w:rPr>
              <w:t>60-75% of any program may be general education courses. Are the courses selected or completely open with no advice or identified with regards to beneficial GE for employment or transfer within fields or a combination of recommended but not required?</w:t>
            </w:r>
          </w:p>
        </w:tc>
        <w:tc>
          <w:tcPr>
            <w:tcW w:w="4320" w:type="dxa"/>
          </w:tcPr>
          <w:p w:rsidR="00740A76" w:rsidRDefault="00740A76" w:rsidP="00487E34">
            <w:pPr>
              <w:rPr>
                <w:sz w:val="24"/>
              </w:rPr>
            </w:pPr>
          </w:p>
        </w:tc>
      </w:tr>
      <w:tr w:rsidR="00740A76" w:rsidTr="00724564">
        <w:tc>
          <w:tcPr>
            <w:tcW w:w="4248" w:type="dxa"/>
          </w:tcPr>
          <w:p w:rsidR="00740A76" w:rsidRPr="005E0CA2" w:rsidRDefault="00740A76" w:rsidP="00452297">
            <w:pPr>
              <w:numPr>
                <w:ilvl w:val="0"/>
                <w:numId w:val="1"/>
              </w:numPr>
              <w:tabs>
                <w:tab w:val="clear" w:pos="720"/>
                <w:tab w:val="num" w:pos="450"/>
              </w:tabs>
              <w:ind w:left="360" w:hanging="270"/>
              <w:rPr>
                <w:sz w:val="24"/>
              </w:rPr>
            </w:pPr>
            <w:r w:rsidRPr="005E0CA2">
              <w:rPr>
                <w:sz w:val="24"/>
              </w:rPr>
              <w:t xml:space="preserve">What is the cycle or calendar to assure </w:t>
            </w:r>
            <w:r>
              <w:rPr>
                <w:sz w:val="24"/>
              </w:rPr>
              <w:t>programs are</w:t>
            </w:r>
            <w:r w:rsidRPr="005E0CA2">
              <w:rPr>
                <w:sz w:val="24"/>
              </w:rPr>
              <w:t xml:space="preserve"> reviewed and iterative?</w:t>
            </w:r>
          </w:p>
        </w:tc>
        <w:tc>
          <w:tcPr>
            <w:tcW w:w="4950" w:type="dxa"/>
          </w:tcPr>
          <w:p w:rsidR="00740A76" w:rsidRPr="001B0C63" w:rsidRDefault="00740A76" w:rsidP="00740A76">
            <w:pPr>
              <w:rPr>
                <w:sz w:val="24"/>
              </w:rPr>
            </w:pPr>
            <w:r>
              <w:rPr>
                <w:sz w:val="24"/>
              </w:rPr>
              <w:t>Colleges that regular and substantive program review create more sustainable change and improvement.</w:t>
            </w:r>
          </w:p>
        </w:tc>
        <w:tc>
          <w:tcPr>
            <w:tcW w:w="4320" w:type="dxa"/>
          </w:tcPr>
          <w:p w:rsidR="00740A76" w:rsidRDefault="00740A76" w:rsidP="00CA6EF4">
            <w:pPr>
              <w:rPr>
                <w:sz w:val="24"/>
              </w:rPr>
            </w:pPr>
          </w:p>
        </w:tc>
      </w:tr>
      <w:tr w:rsidR="008971B2" w:rsidTr="00724564">
        <w:tc>
          <w:tcPr>
            <w:tcW w:w="4248" w:type="dxa"/>
          </w:tcPr>
          <w:p w:rsidR="008971B2" w:rsidRDefault="008971B2" w:rsidP="0038038D">
            <w:pPr>
              <w:pStyle w:val="ListParagraph"/>
              <w:numPr>
                <w:ilvl w:val="0"/>
                <w:numId w:val="5"/>
              </w:numPr>
              <w:tabs>
                <w:tab w:val="num" w:pos="450"/>
              </w:tabs>
              <w:ind w:left="360" w:hanging="270"/>
              <w:rPr>
                <w:rFonts w:cstheme="minorHAnsi"/>
                <w:sz w:val="24"/>
              </w:rPr>
            </w:pPr>
            <w:r w:rsidRPr="00354B2F">
              <w:rPr>
                <w:rFonts w:cstheme="minorHAnsi"/>
                <w:sz w:val="24"/>
              </w:rPr>
              <w:t xml:space="preserve">What </w:t>
            </w:r>
            <w:r>
              <w:rPr>
                <w:rFonts w:cstheme="minorHAnsi"/>
                <w:sz w:val="24"/>
              </w:rPr>
              <w:t>is the process</w:t>
            </w:r>
            <w:r w:rsidRPr="00354B2F">
              <w:rPr>
                <w:rFonts w:cstheme="minorHAnsi"/>
                <w:sz w:val="24"/>
              </w:rPr>
              <w:t xml:space="preserve"> if questions of program or course cancellation arise? Is their agreement to review all courses and programs using current shared governance structures and policies – no loss of programs without a program discontinuance review &amp; no loss of courses without a Curriculum Committee review?</w:t>
            </w:r>
          </w:p>
          <w:p w:rsidR="00724564" w:rsidRPr="00354B2F" w:rsidRDefault="00724564" w:rsidP="00724564">
            <w:pPr>
              <w:pStyle w:val="ListParagraph"/>
              <w:ind w:left="360"/>
              <w:rPr>
                <w:rFonts w:cstheme="minorHAnsi"/>
                <w:sz w:val="24"/>
              </w:rPr>
            </w:pPr>
          </w:p>
        </w:tc>
        <w:tc>
          <w:tcPr>
            <w:tcW w:w="4950" w:type="dxa"/>
          </w:tcPr>
          <w:p w:rsidR="008971B2" w:rsidRPr="001B0C63" w:rsidRDefault="008971B2" w:rsidP="0038038D">
            <w:pPr>
              <w:rPr>
                <w:sz w:val="24"/>
              </w:rPr>
            </w:pPr>
            <w:r>
              <w:rPr>
                <w:sz w:val="24"/>
              </w:rPr>
              <w:t>Existing program review and curriculum processes should be used, no ad hoc or temporary decisions should overtake these processes as these kinds of processes are not sustainable. Use standards and participants currently key to your governance process to build sustainability and to communicate college-wide.</w:t>
            </w:r>
          </w:p>
        </w:tc>
        <w:tc>
          <w:tcPr>
            <w:tcW w:w="4320" w:type="dxa"/>
          </w:tcPr>
          <w:p w:rsidR="008971B2" w:rsidRDefault="008971B2" w:rsidP="0038038D">
            <w:pPr>
              <w:rPr>
                <w:sz w:val="24"/>
              </w:rPr>
            </w:pPr>
          </w:p>
        </w:tc>
      </w:tr>
      <w:tr w:rsidR="008971B2" w:rsidTr="00724564">
        <w:tc>
          <w:tcPr>
            <w:tcW w:w="4248" w:type="dxa"/>
          </w:tcPr>
          <w:p w:rsidR="008971B2" w:rsidRPr="005E0CA2" w:rsidRDefault="008971B2" w:rsidP="00D4607D">
            <w:pPr>
              <w:numPr>
                <w:ilvl w:val="0"/>
                <w:numId w:val="1"/>
              </w:numPr>
              <w:tabs>
                <w:tab w:val="clear" w:pos="720"/>
                <w:tab w:val="num" w:pos="450"/>
              </w:tabs>
              <w:ind w:left="360" w:hanging="270"/>
              <w:rPr>
                <w:sz w:val="24"/>
              </w:rPr>
            </w:pPr>
            <w:r>
              <w:rPr>
                <w:sz w:val="24"/>
              </w:rPr>
              <w:lastRenderedPageBreak/>
              <w:t>How will programs be mapped to the correct quantitative reasoning pathways?</w:t>
            </w:r>
          </w:p>
        </w:tc>
        <w:tc>
          <w:tcPr>
            <w:tcW w:w="4950" w:type="dxa"/>
          </w:tcPr>
          <w:p w:rsidR="008971B2" w:rsidRDefault="008971B2" w:rsidP="00D4607D">
            <w:pPr>
              <w:rPr>
                <w:sz w:val="24"/>
              </w:rPr>
            </w:pPr>
            <w:r>
              <w:rPr>
                <w:sz w:val="24"/>
              </w:rPr>
              <w:t>Discussions about the appropriate math for each program are key to constructing an adequate schedule of classes and a map.</w:t>
            </w:r>
          </w:p>
        </w:tc>
        <w:tc>
          <w:tcPr>
            <w:tcW w:w="4320" w:type="dxa"/>
          </w:tcPr>
          <w:p w:rsidR="008971B2" w:rsidRDefault="008971B2" w:rsidP="00CA6EF4">
            <w:pPr>
              <w:rPr>
                <w:sz w:val="24"/>
              </w:rPr>
            </w:pPr>
          </w:p>
        </w:tc>
      </w:tr>
      <w:tr w:rsidR="008971B2" w:rsidTr="00724564">
        <w:tc>
          <w:tcPr>
            <w:tcW w:w="4248" w:type="dxa"/>
          </w:tcPr>
          <w:p w:rsidR="008971B2" w:rsidRPr="005E0CA2" w:rsidRDefault="008971B2" w:rsidP="0038038D">
            <w:pPr>
              <w:numPr>
                <w:ilvl w:val="0"/>
                <w:numId w:val="1"/>
              </w:numPr>
              <w:tabs>
                <w:tab w:val="clear" w:pos="720"/>
                <w:tab w:val="num" w:pos="450"/>
              </w:tabs>
              <w:ind w:left="360" w:hanging="270"/>
              <w:rPr>
                <w:sz w:val="24"/>
              </w:rPr>
            </w:pPr>
            <w:r w:rsidRPr="005E0CA2">
              <w:rPr>
                <w:sz w:val="24"/>
              </w:rPr>
              <w:t xml:space="preserve">Will programs be allowed to exist in multiple metamajors? </w:t>
            </w:r>
          </w:p>
        </w:tc>
        <w:tc>
          <w:tcPr>
            <w:tcW w:w="4950" w:type="dxa"/>
          </w:tcPr>
          <w:p w:rsidR="008971B2" w:rsidRPr="001B0C63" w:rsidRDefault="008971B2" w:rsidP="0038038D">
            <w:pPr>
              <w:rPr>
                <w:sz w:val="24"/>
              </w:rPr>
            </w:pPr>
            <w:r>
              <w:rPr>
                <w:sz w:val="24"/>
              </w:rPr>
              <w:t>Some programs feel they belong in multiple meta-majors (this makes data analysis and involvement by meta-major difficult).</w:t>
            </w:r>
          </w:p>
        </w:tc>
        <w:tc>
          <w:tcPr>
            <w:tcW w:w="4320" w:type="dxa"/>
          </w:tcPr>
          <w:p w:rsidR="008971B2" w:rsidRDefault="008971B2" w:rsidP="0038038D">
            <w:pPr>
              <w:rPr>
                <w:sz w:val="24"/>
              </w:rPr>
            </w:pPr>
          </w:p>
        </w:tc>
      </w:tr>
      <w:tr w:rsidR="008971B2" w:rsidTr="00724564">
        <w:tc>
          <w:tcPr>
            <w:tcW w:w="4248" w:type="dxa"/>
          </w:tcPr>
          <w:p w:rsidR="008971B2" w:rsidRPr="005E0CA2" w:rsidRDefault="008971B2" w:rsidP="00452297">
            <w:pPr>
              <w:numPr>
                <w:ilvl w:val="0"/>
                <w:numId w:val="1"/>
              </w:numPr>
              <w:tabs>
                <w:tab w:val="clear" w:pos="720"/>
                <w:tab w:val="num" w:pos="450"/>
              </w:tabs>
              <w:ind w:left="360" w:hanging="270"/>
              <w:rPr>
                <w:sz w:val="24"/>
              </w:rPr>
            </w:pPr>
            <w:r>
              <w:rPr>
                <w:sz w:val="24"/>
              </w:rPr>
              <w:t>How will programs be mapped to the correct GE pathways e.g. local, CSU Breadth and IGETC?</w:t>
            </w:r>
          </w:p>
        </w:tc>
        <w:tc>
          <w:tcPr>
            <w:tcW w:w="4950" w:type="dxa"/>
          </w:tcPr>
          <w:p w:rsidR="008971B2" w:rsidRDefault="008971B2" w:rsidP="00CA6EF4">
            <w:pPr>
              <w:rPr>
                <w:sz w:val="24"/>
              </w:rPr>
            </w:pPr>
            <w:r>
              <w:rPr>
                <w:sz w:val="24"/>
              </w:rPr>
              <w:t>GE options include local, CSU breadth and IGETC. Where do most students transfer within each program?</w:t>
            </w:r>
          </w:p>
        </w:tc>
        <w:tc>
          <w:tcPr>
            <w:tcW w:w="4320" w:type="dxa"/>
          </w:tcPr>
          <w:p w:rsidR="008971B2" w:rsidRDefault="008971B2" w:rsidP="00CA6EF4">
            <w:pPr>
              <w:rPr>
                <w:sz w:val="24"/>
              </w:rPr>
            </w:pPr>
          </w:p>
        </w:tc>
      </w:tr>
      <w:tr w:rsidR="008971B2" w:rsidTr="00724564">
        <w:tc>
          <w:tcPr>
            <w:tcW w:w="4248" w:type="dxa"/>
          </w:tcPr>
          <w:p w:rsidR="008971B2" w:rsidRPr="005E0CA2" w:rsidRDefault="008971B2" w:rsidP="00452297">
            <w:pPr>
              <w:numPr>
                <w:ilvl w:val="0"/>
                <w:numId w:val="1"/>
              </w:numPr>
              <w:tabs>
                <w:tab w:val="clear" w:pos="720"/>
                <w:tab w:val="num" w:pos="450"/>
              </w:tabs>
              <w:ind w:left="360" w:hanging="270"/>
              <w:rPr>
                <w:sz w:val="24"/>
              </w:rPr>
            </w:pPr>
            <w:r w:rsidRPr="005E0CA2">
              <w:rPr>
                <w:sz w:val="24"/>
              </w:rPr>
              <w:t xml:space="preserve">How will student voice be included in </w:t>
            </w:r>
            <w:r>
              <w:rPr>
                <w:sz w:val="24"/>
              </w:rPr>
              <w:t>program mapping</w:t>
            </w:r>
            <w:r w:rsidRPr="005E0CA2">
              <w:rPr>
                <w:sz w:val="24"/>
              </w:rPr>
              <w:t>?</w:t>
            </w:r>
          </w:p>
        </w:tc>
        <w:tc>
          <w:tcPr>
            <w:tcW w:w="4950" w:type="dxa"/>
          </w:tcPr>
          <w:p w:rsidR="008971B2" w:rsidRPr="001B0C63" w:rsidRDefault="008971B2" w:rsidP="00740A76">
            <w:pPr>
              <w:rPr>
                <w:sz w:val="24"/>
              </w:rPr>
            </w:pPr>
            <w:r>
              <w:rPr>
                <w:sz w:val="24"/>
              </w:rPr>
              <w:t>Incorporating student voice, at the beginning, strengthens decision and communication. Use students that are connected &amp; will report back.</w:t>
            </w:r>
          </w:p>
        </w:tc>
        <w:tc>
          <w:tcPr>
            <w:tcW w:w="4320" w:type="dxa"/>
          </w:tcPr>
          <w:p w:rsidR="008971B2" w:rsidRDefault="008971B2" w:rsidP="00CA6EF4">
            <w:pPr>
              <w:rPr>
                <w:sz w:val="24"/>
              </w:rPr>
            </w:pPr>
          </w:p>
        </w:tc>
      </w:tr>
      <w:tr w:rsidR="008971B2" w:rsidTr="00724564">
        <w:tc>
          <w:tcPr>
            <w:tcW w:w="4248" w:type="dxa"/>
          </w:tcPr>
          <w:p w:rsidR="008971B2" w:rsidRPr="005E0CA2" w:rsidRDefault="008971B2" w:rsidP="00452297">
            <w:pPr>
              <w:numPr>
                <w:ilvl w:val="0"/>
                <w:numId w:val="1"/>
              </w:numPr>
              <w:tabs>
                <w:tab w:val="clear" w:pos="720"/>
                <w:tab w:val="num" w:pos="450"/>
              </w:tabs>
              <w:ind w:left="360" w:hanging="270"/>
              <w:rPr>
                <w:sz w:val="24"/>
              </w:rPr>
            </w:pPr>
            <w:r w:rsidRPr="005E0CA2">
              <w:rPr>
                <w:sz w:val="24"/>
              </w:rPr>
              <w:t xml:space="preserve">How will remediation and basic skills progression fit within </w:t>
            </w:r>
            <w:r>
              <w:rPr>
                <w:sz w:val="24"/>
              </w:rPr>
              <w:t>programs?</w:t>
            </w:r>
          </w:p>
        </w:tc>
        <w:tc>
          <w:tcPr>
            <w:tcW w:w="4950" w:type="dxa"/>
          </w:tcPr>
          <w:p w:rsidR="008971B2" w:rsidRPr="001B0C63" w:rsidRDefault="008971B2" w:rsidP="00CA6EF4">
            <w:pPr>
              <w:rPr>
                <w:sz w:val="24"/>
              </w:rPr>
            </w:pPr>
            <w:r>
              <w:rPr>
                <w:sz w:val="24"/>
              </w:rPr>
              <w:t>Determining the role of remediation in each metamajor or as a separate unit is important. The additional work falls on English, ESL, Reading and Math.</w:t>
            </w:r>
          </w:p>
        </w:tc>
        <w:tc>
          <w:tcPr>
            <w:tcW w:w="4320" w:type="dxa"/>
          </w:tcPr>
          <w:p w:rsidR="008971B2" w:rsidRDefault="008971B2" w:rsidP="00CA6EF4">
            <w:pPr>
              <w:rPr>
                <w:sz w:val="24"/>
              </w:rPr>
            </w:pPr>
          </w:p>
        </w:tc>
      </w:tr>
      <w:tr w:rsidR="008971B2" w:rsidTr="00724564">
        <w:tc>
          <w:tcPr>
            <w:tcW w:w="4248" w:type="dxa"/>
          </w:tcPr>
          <w:p w:rsidR="008971B2" w:rsidRPr="005E0CA2" w:rsidRDefault="008971B2" w:rsidP="00452297">
            <w:pPr>
              <w:numPr>
                <w:ilvl w:val="0"/>
                <w:numId w:val="1"/>
              </w:numPr>
              <w:tabs>
                <w:tab w:val="clear" w:pos="720"/>
                <w:tab w:val="num" w:pos="450"/>
              </w:tabs>
              <w:ind w:left="360" w:hanging="270"/>
              <w:rPr>
                <w:sz w:val="24"/>
              </w:rPr>
            </w:pPr>
            <w:r>
              <w:rPr>
                <w:sz w:val="24"/>
              </w:rPr>
              <w:t>How w</w:t>
            </w:r>
            <w:r w:rsidRPr="005E0CA2">
              <w:rPr>
                <w:sz w:val="24"/>
              </w:rPr>
              <w:t>ill program</w:t>
            </w:r>
            <w:r>
              <w:rPr>
                <w:sz w:val="24"/>
              </w:rPr>
              <w:t xml:space="preserve"> mapping focus on employment and/or transfer?</w:t>
            </w:r>
            <w:r w:rsidRPr="005E0CA2">
              <w:rPr>
                <w:sz w:val="24"/>
              </w:rPr>
              <w:t xml:space="preserve"> </w:t>
            </w:r>
          </w:p>
        </w:tc>
        <w:tc>
          <w:tcPr>
            <w:tcW w:w="4950" w:type="dxa"/>
          </w:tcPr>
          <w:p w:rsidR="008971B2" w:rsidRPr="001B0C63" w:rsidRDefault="008971B2" w:rsidP="00CA6EF4">
            <w:pPr>
              <w:rPr>
                <w:sz w:val="24"/>
              </w:rPr>
            </w:pPr>
            <w:r>
              <w:rPr>
                <w:sz w:val="24"/>
              </w:rPr>
              <w:t>Mapping with the end in mind has been loudly supported by students; how will this be accomplished?</w:t>
            </w:r>
          </w:p>
        </w:tc>
        <w:tc>
          <w:tcPr>
            <w:tcW w:w="4320" w:type="dxa"/>
          </w:tcPr>
          <w:p w:rsidR="008971B2" w:rsidRDefault="008971B2" w:rsidP="00CA6EF4">
            <w:pPr>
              <w:rPr>
                <w:sz w:val="24"/>
              </w:rPr>
            </w:pPr>
          </w:p>
        </w:tc>
      </w:tr>
      <w:tr w:rsidR="008971B2" w:rsidTr="00724564">
        <w:tc>
          <w:tcPr>
            <w:tcW w:w="4248" w:type="dxa"/>
          </w:tcPr>
          <w:p w:rsidR="008971B2" w:rsidRPr="00354B2F" w:rsidRDefault="008971B2" w:rsidP="00002EBB">
            <w:pPr>
              <w:numPr>
                <w:ilvl w:val="0"/>
                <w:numId w:val="1"/>
              </w:numPr>
              <w:tabs>
                <w:tab w:val="clear" w:pos="720"/>
                <w:tab w:val="num" w:pos="450"/>
              </w:tabs>
              <w:ind w:left="360" w:hanging="270"/>
              <w:rPr>
                <w:sz w:val="24"/>
              </w:rPr>
            </w:pPr>
            <w:r>
              <w:rPr>
                <w:bCs/>
                <w:sz w:val="24"/>
              </w:rPr>
              <w:t>How will programs address</w:t>
            </w:r>
            <w:r w:rsidRPr="00354B2F">
              <w:rPr>
                <w:bCs/>
                <w:sz w:val="24"/>
              </w:rPr>
              <w:t xml:space="preserve"> minimizing time </w:t>
            </w:r>
            <w:r>
              <w:rPr>
                <w:bCs/>
                <w:sz w:val="24"/>
              </w:rPr>
              <w:t xml:space="preserve">and units </w:t>
            </w:r>
            <w:r w:rsidRPr="00354B2F">
              <w:rPr>
                <w:bCs/>
                <w:sz w:val="24"/>
              </w:rPr>
              <w:t>to completion?</w:t>
            </w:r>
          </w:p>
        </w:tc>
        <w:tc>
          <w:tcPr>
            <w:tcW w:w="4950" w:type="dxa"/>
          </w:tcPr>
          <w:p w:rsidR="008971B2" w:rsidRPr="001B0C63" w:rsidRDefault="008971B2" w:rsidP="00CA6EF4">
            <w:pPr>
              <w:rPr>
                <w:sz w:val="24"/>
              </w:rPr>
            </w:pPr>
            <w:r>
              <w:rPr>
                <w:sz w:val="24"/>
              </w:rPr>
              <w:t>Clear pathways should reduce time to completion but this intersects with scheduling. How will scheduling be handled for meta-majors?</w:t>
            </w:r>
          </w:p>
        </w:tc>
        <w:tc>
          <w:tcPr>
            <w:tcW w:w="4320" w:type="dxa"/>
          </w:tcPr>
          <w:p w:rsidR="008971B2" w:rsidRDefault="008971B2" w:rsidP="00CA6EF4">
            <w:pPr>
              <w:rPr>
                <w:sz w:val="24"/>
              </w:rPr>
            </w:pPr>
          </w:p>
        </w:tc>
      </w:tr>
      <w:tr w:rsidR="00724564" w:rsidTr="00724564">
        <w:tc>
          <w:tcPr>
            <w:tcW w:w="4248" w:type="dxa"/>
          </w:tcPr>
          <w:p w:rsidR="00724564" w:rsidRDefault="00724564" w:rsidP="00002EBB">
            <w:pPr>
              <w:numPr>
                <w:ilvl w:val="0"/>
                <w:numId w:val="1"/>
              </w:numPr>
              <w:tabs>
                <w:tab w:val="clear" w:pos="720"/>
                <w:tab w:val="num" w:pos="450"/>
              </w:tabs>
              <w:ind w:left="360" w:hanging="270"/>
              <w:rPr>
                <w:bCs/>
                <w:sz w:val="24"/>
              </w:rPr>
            </w:pPr>
            <w:r>
              <w:rPr>
                <w:bCs/>
                <w:sz w:val="24"/>
              </w:rPr>
              <w:t>How will programs be mapped that require pre-requisite coursework?</w:t>
            </w:r>
          </w:p>
        </w:tc>
        <w:tc>
          <w:tcPr>
            <w:tcW w:w="4950" w:type="dxa"/>
          </w:tcPr>
          <w:p w:rsidR="00724564" w:rsidRDefault="00724564" w:rsidP="00CA6EF4">
            <w:pPr>
              <w:rPr>
                <w:sz w:val="24"/>
              </w:rPr>
            </w:pPr>
            <w:r>
              <w:rPr>
                <w:sz w:val="24"/>
              </w:rPr>
              <w:t xml:space="preserve">Some programs require only a course or two while others require a certificate or degree. For example nursing requires almost 60 pre-requisite units. </w:t>
            </w:r>
          </w:p>
        </w:tc>
        <w:tc>
          <w:tcPr>
            <w:tcW w:w="4320" w:type="dxa"/>
          </w:tcPr>
          <w:p w:rsidR="00724564" w:rsidRDefault="00724564" w:rsidP="00CA6EF4">
            <w:pPr>
              <w:rPr>
                <w:sz w:val="24"/>
              </w:rPr>
            </w:pPr>
          </w:p>
        </w:tc>
      </w:tr>
      <w:tr w:rsidR="00724564" w:rsidTr="00724564">
        <w:tc>
          <w:tcPr>
            <w:tcW w:w="4248" w:type="dxa"/>
          </w:tcPr>
          <w:p w:rsidR="00724564" w:rsidRDefault="00724564" w:rsidP="00002EBB">
            <w:pPr>
              <w:numPr>
                <w:ilvl w:val="0"/>
                <w:numId w:val="1"/>
              </w:numPr>
              <w:tabs>
                <w:tab w:val="clear" w:pos="720"/>
                <w:tab w:val="num" w:pos="450"/>
              </w:tabs>
              <w:ind w:left="360" w:hanging="270"/>
              <w:rPr>
                <w:bCs/>
                <w:sz w:val="24"/>
              </w:rPr>
            </w:pPr>
            <w:r>
              <w:rPr>
                <w:rFonts w:ascii="Calibri" w:hAnsi="Calibri" w:cs="Calibri"/>
                <w:color w:val="000000"/>
                <w:shd w:val="clear" w:color="auto" w:fill="FFFFFF"/>
              </w:rPr>
              <w:lastRenderedPageBreak/>
              <w:t>Are pathways for part-time students going to be mapped?  If so, within what time-frame (i.e. three-year paths, four-year paths, etc.)?</w:t>
            </w:r>
          </w:p>
        </w:tc>
        <w:tc>
          <w:tcPr>
            <w:tcW w:w="4950" w:type="dxa"/>
          </w:tcPr>
          <w:p w:rsidR="00724564" w:rsidRDefault="00724564" w:rsidP="00CA6EF4">
            <w:pPr>
              <w:rPr>
                <w:sz w:val="24"/>
              </w:rPr>
            </w:pPr>
          </w:p>
        </w:tc>
        <w:tc>
          <w:tcPr>
            <w:tcW w:w="4320" w:type="dxa"/>
          </w:tcPr>
          <w:p w:rsidR="00724564" w:rsidRDefault="00724564" w:rsidP="00CA6EF4">
            <w:pPr>
              <w:rPr>
                <w:sz w:val="24"/>
              </w:rPr>
            </w:pPr>
          </w:p>
        </w:tc>
      </w:tr>
      <w:tr w:rsidR="00724564" w:rsidTr="00AD3AEC">
        <w:trPr>
          <w:trHeight w:val="1475"/>
        </w:trPr>
        <w:tc>
          <w:tcPr>
            <w:tcW w:w="4248" w:type="dxa"/>
          </w:tcPr>
          <w:p w:rsidR="00724564" w:rsidRPr="00724564" w:rsidRDefault="00724564" w:rsidP="00AD3AEC">
            <w:pPr>
              <w:numPr>
                <w:ilvl w:val="0"/>
                <w:numId w:val="1"/>
              </w:numPr>
              <w:shd w:val="clear" w:color="auto" w:fill="FFFFFF"/>
              <w:tabs>
                <w:tab w:val="clear" w:pos="720"/>
                <w:tab w:val="num" w:pos="360"/>
              </w:tabs>
              <w:spacing w:before="100" w:beforeAutospacing="1" w:after="100" w:afterAutospacing="1"/>
              <w:ind w:left="360" w:hanging="270"/>
              <w:rPr>
                <w:rFonts w:ascii="Calibri" w:eastAsia="Times New Roman" w:hAnsi="Calibri" w:cs="Calibri"/>
                <w:color w:val="000000"/>
                <w:sz w:val="24"/>
                <w:szCs w:val="24"/>
              </w:rPr>
            </w:pPr>
            <w:r w:rsidRPr="00724564">
              <w:rPr>
                <w:rFonts w:ascii="Calibri" w:eastAsia="Times New Roman" w:hAnsi="Calibri" w:cs="Calibri"/>
                <w:color w:val="000000"/>
                <w:sz w:val="24"/>
                <w:szCs w:val="24"/>
              </w:rPr>
              <w:t>C</w:t>
            </w:r>
            <w:r w:rsidR="00AD3AEC">
              <w:rPr>
                <w:rFonts w:ascii="Calibri" w:eastAsia="Times New Roman" w:hAnsi="Calibri" w:cs="Calibri"/>
                <w:color w:val="000000"/>
                <w:sz w:val="24"/>
                <w:szCs w:val="24"/>
              </w:rPr>
              <w:t xml:space="preserve">onsidering some students try to </w:t>
            </w:r>
            <w:r w:rsidRPr="00724564">
              <w:rPr>
                <w:rFonts w:ascii="Calibri" w:eastAsia="Times New Roman" w:hAnsi="Calibri" w:cs="Calibri"/>
                <w:color w:val="000000"/>
                <w:sz w:val="24"/>
                <w:szCs w:val="24"/>
              </w:rPr>
              <w:t>transfer with local degrees, are local degrees going to include maps following CSU and/or IGETC GE pattern?  </w:t>
            </w:r>
          </w:p>
        </w:tc>
        <w:tc>
          <w:tcPr>
            <w:tcW w:w="4950" w:type="dxa"/>
          </w:tcPr>
          <w:p w:rsidR="00724564" w:rsidRDefault="00724564" w:rsidP="00CA6EF4">
            <w:pPr>
              <w:rPr>
                <w:sz w:val="24"/>
              </w:rPr>
            </w:pPr>
          </w:p>
        </w:tc>
        <w:tc>
          <w:tcPr>
            <w:tcW w:w="4320" w:type="dxa"/>
          </w:tcPr>
          <w:p w:rsidR="00724564" w:rsidRDefault="00724564" w:rsidP="00CA6EF4">
            <w:pPr>
              <w:rPr>
                <w:sz w:val="24"/>
              </w:rPr>
            </w:pPr>
          </w:p>
        </w:tc>
      </w:tr>
    </w:tbl>
    <w:p w:rsidR="00C47096" w:rsidRDefault="00C47096" w:rsidP="00740A76">
      <w:pPr>
        <w:rPr>
          <w:rFonts w:cstheme="minorHAnsi"/>
          <w:sz w:val="24"/>
        </w:rPr>
      </w:pPr>
    </w:p>
    <w:p w:rsidR="00724564" w:rsidRDefault="00724564" w:rsidP="00740A76">
      <w:pPr>
        <w:rPr>
          <w:rFonts w:cstheme="minorHAnsi"/>
          <w:sz w:val="24"/>
        </w:rPr>
      </w:pPr>
      <w:r>
        <w:rPr>
          <w:rFonts w:cstheme="minorHAnsi"/>
          <w:sz w:val="24"/>
        </w:rPr>
        <w:t>Quote from a program mapping veteran 2 years into the work:</w:t>
      </w:r>
    </w:p>
    <w:p w:rsidR="00724564" w:rsidRPr="00AD3AEC" w:rsidRDefault="00724564" w:rsidP="00724564">
      <w:pPr>
        <w:shd w:val="clear" w:color="auto" w:fill="FFFFFF"/>
        <w:rPr>
          <w:rFonts w:eastAsia="Times New Roman" w:cstheme="minorHAnsi"/>
          <w:color w:val="000000"/>
          <w:sz w:val="24"/>
          <w:szCs w:val="24"/>
        </w:rPr>
      </w:pPr>
      <w:r w:rsidRPr="00AD3AEC">
        <w:rPr>
          <w:rFonts w:cstheme="minorHAnsi"/>
          <w:sz w:val="24"/>
        </w:rPr>
        <w:t>“</w:t>
      </w:r>
      <w:r w:rsidRPr="00AD3AEC">
        <w:rPr>
          <w:rFonts w:eastAsia="Times New Roman" w:cstheme="minorHAnsi"/>
          <w:color w:val="000000"/>
          <w:sz w:val="24"/>
          <w:szCs w:val="24"/>
        </w:rPr>
        <w:t xml:space="preserve">It is very easy to get carried away with the mapper, especially when one starts to consider all of the intricate paths that can be created.  Key is to start with a manageable plan which balances clarity and detail - easier said than done </w:t>
      </w:r>
      <w:r w:rsidRPr="00AD3AEC">
        <w:rPr>
          <w:rFonts w:ascii="Segoe UI Symbol" w:eastAsia="Times New Roman" w:hAnsi="Segoe UI Symbol" w:cs="Segoe UI Symbol"/>
          <w:color w:val="000000"/>
          <w:sz w:val="24"/>
          <w:szCs w:val="24"/>
        </w:rPr>
        <w:t>😊</w:t>
      </w:r>
      <w:r w:rsidRPr="00AD3AEC">
        <w:rPr>
          <w:rFonts w:eastAsia="Times New Roman" w:cstheme="minorHAnsi"/>
          <w:color w:val="000000"/>
          <w:sz w:val="24"/>
          <w:szCs w:val="24"/>
        </w:rPr>
        <w:t xml:space="preserve">” </w:t>
      </w:r>
      <w:r w:rsidR="00AD3AEC" w:rsidRPr="00AD3AEC">
        <w:rPr>
          <w:rFonts w:eastAsia="Times New Roman" w:cstheme="minorHAnsi"/>
          <w:color w:val="000000"/>
          <w:sz w:val="24"/>
          <w:szCs w:val="24"/>
        </w:rPr>
        <w:t xml:space="preserve">Dr. </w:t>
      </w:r>
      <w:r w:rsidRPr="00AD3AEC">
        <w:rPr>
          <w:rFonts w:eastAsia="Times New Roman" w:cstheme="minorHAnsi"/>
          <w:color w:val="000000"/>
          <w:sz w:val="24"/>
          <w:szCs w:val="24"/>
        </w:rPr>
        <w:t xml:space="preserve">Eleonora Hicks, </w:t>
      </w:r>
      <w:r w:rsidR="00AD3AEC" w:rsidRPr="00AD3AEC">
        <w:rPr>
          <w:rFonts w:eastAsia="Times New Roman" w:cstheme="minorHAnsi"/>
          <w:color w:val="000000"/>
          <w:sz w:val="24"/>
          <w:szCs w:val="24"/>
        </w:rPr>
        <w:t xml:space="preserve">Sociology Professor at </w:t>
      </w:r>
      <w:r w:rsidRPr="00AD3AEC">
        <w:rPr>
          <w:rFonts w:eastAsia="Times New Roman" w:cstheme="minorHAnsi"/>
          <w:color w:val="000000"/>
          <w:sz w:val="24"/>
          <w:szCs w:val="24"/>
        </w:rPr>
        <w:t>Bakersfield College</w:t>
      </w:r>
    </w:p>
    <w:p w:rsidR="00724564" w:rsidRPr="00AD3AEC" w:rsidRDefault="00724564" w:rsidP="00724564">
      <w:pPr>
        <w:shd w:val="clear" w:color="auto" w:fill="FFFFFF"/>
        <w:rPr>
          <w:rFonts w:eastAsia="Times New Roman" w:cstheme="minorHAnsi"/>
          <w:color w:val="000000"/>
          <w:sz w:val="24"/>
          <w:szCs w:val="24"/>
        </w:rPr>
      </w:pPr>
    </w:p>
    <w:p w:rsidR="00724564" w:rsidRPr="00AD3AEC" w:rsidRDefault="00724564" w:rsidP="00724564">
      <w:pPr>
        <w:shd w:val="clear" w:color="auto" w:fill="FFFFFF"/>
        <w:rPr>
          <w:rFonts w:eastAsia="Times New Roman" w:cstheme="minorHAnsi"/>
          <w:color w:val="000000"/>
          <w:sz w:val="24"/>
          <w:szCs w:val="24"/>
        </w:rPr>
      </w:pPr>
      <w:r w:rsidRPr="00AD3AEC">
        <w:rPr>
          <w:rFonts w:eastAsia="Times New Roman" w:cstheme="minorHAnsi"/>
          <w:color w:val="000000"/>
          <w:sz w:val="24"/>
          <w:szCs w:val="24"/>
        </w:rPr>
        <w:t>Example of program mapping situation:</w:t>
      </w:r>
    </w:p>
    <w:p w:rsidR="00724564" w:rsidRPr="00AD3AEC" w:rsidRDefault="00724564" w:rsidP="00724564">
      <w:pPr>
        <w:shd w:val="clear" w:color="auto" w:fill="FFFFFF"/>
        <w:rPr>
          <w:rFonts w:eastAsia="Times New Roman" w:cstheme="minorHAnsi"/>
          <w:color w:val="000000"/>
          <w:sz w:val="24"/>
          <w:szCs w:val="24"/>
        </w:rPr>
      </w:pPr>
      <w:r w:rsidRPr="00AD3AEC">
        <w:rPr>
          <w:rFonts w:eastAsia="Times New Roman" w:cstheme="minorHAnsi"/>
          <w:color w:val="000000"/>
          <w:sz w:val="24"/>
          <w:szCs w:val="24"/>
        </w:rPr>
        <w:t>At one college the Culinary Arts program suggested they should be in the STEM metamajor because cooking is all about chemistry. After a review of the program coursework, the mapping team discovered that there were no STEM courses required or suggested in the program. The GPIT (Guided Pathways Implementation Team) suggested the CSU general education area B3 for physical science could suggest this area be fulfilled with a chemistry course and lab but that the outcomes and content of the program were not consistent with STEM.</w:t>
      </w:r>
    </w:p>
    <w:p w:rsidR="00724564" w:rsidRDefault="00724564" w:rsidP="00740A76">
      <w:pPr>
        <w:rPr>
          <w:rFonts w:cstheme="minorHAnsi"/>
          <w:sz w:val="24"/>
        </w:rPr>
      </w:pPr>
    </w:p>
    <w:sectPr w:rsidR="00724564" w:rsidSect="00740A76">
      <w:headerReference w:type="default" r:id="rId7"/>
      <w:foot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7C8" w:rsidRDefault="000257C8" w:rsidP="00805754">
      <w:pPr>
        <w:spacing w:after="0" w:line="240" w:lineRule="auto"/>
      </w:pPr>
      <w:r>
        <w:separator/>
      </w:r>
    </w:p>
  </w:endnote>
  <w:endnote w:type="continuationSeparator" w:id="0">
    <w:p w:rsidR="000257C8" w:rsidRDefault="000257C8" w:rsidP="0080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9BF" w:rsidRDefault="004859BF">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8/26/2018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C4F46" w:rsidRPr="004C4F4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805754" w:rsidRDefault="00805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7C8" w:rsidRDefault="000257C8" w:rsidP="00805754">
      <w:pPr>
        <w:spacing w:after="0" w:line="240" w:lineRule="auto"/>
      </w:pPr>
      <w:r>
        <w:separator/>
      </w:r>
    </w:p>
  </w:footnote>
  <w:footnote w:type="continuationSeparator" w:id="0">
    <w:p w:rsidR="000257C8" w:rsidRDefault="000257C8" w:rsidP="0080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4F" w:rsidRDefault="006D0F4F" w:rsidP="006D0F4F">
    <w:pPr>
      <w:pStyle w:val="Header"/>
      <w:jc w:val="center"/>
      <w:rPr>
        <w:b/>
        <w:sz w:val="28"/>
      </w:rPr>
    </w:pPr>
    <w:r w:rsidRPr="006D0F4F">
      <w:rPr>
        <w:b/>
        <w:sz w:val="28"/>
      </w:rPr>
      <w:t xml:space="preserve">Considerations for Guidelines while </w:t>
    </w:r>
    <w:r w:rsidR="00452297">
      <w:rPr>
        <w:b/>
        <w:sz w:val="28"/>
      </w:rPr>
      <w:t xml:space="preserve">Mapping Programs   </w:t>
    </w:r>
    <w:r w:rsidR="001112EC">
      <w:rPr>
        <w:noProof/>
      </w:rPr>
      <w:drawing>
        <wp:inline distT="0" distB="0" distL="0" distR="0" wp14:anchorId="6F2485C1" wp14:editId="672C2197">
          <wp:extent cx="1133633" cy="409632"/>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894C7.tmp"/>
                  <pic:cNvPicPr/>
                </pic:nvPicPr>
                <pic:blipFill>
                  <a:blip r:embed="rId1">
                    <a:extLst>
                      <a:ext uri="{28A0092B-C50C-407E-A947-70E740481C1C}">
                        <a14:useLocalDpi xmlns:a14="http://schemas.microsoft.com/office/drawing/2010/main" val="0"/>
                      </a:ext>
                    </a:extLst>
                  </a:blip>
                  <a:stretch>
                    <a:fillRect/>
                  </a:stretch>
                </pic:blipFill>
                <pic:spPr>
                  <a:xfrm>
                    <a:off x="0" y="0"/>
                    <a:ext cx="1133633" cy="4096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B746D"/>
    <w:multiLevelType w:val="hybridMultilevel"/>
    <w:tmpl w:val="4850A766"/>
    <w:lvl w:ilvl="0" w:tplc="FA3A1696">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E2080C7A">
      <w:start w:val="1"/>
      <w:numFmt w:val="bullet"/>
      <w:lvlText w:val="•"/>
      <w:lvlJc w:val="left"/>
      <w:pPr>
        <w:tabs>
          <w:tab w:val="num" w:pos="2160"/>
        </w:tabs>
        <w:ind w:left="2160" w:hanging="360"/>
      </w:pPr>
      <w:rPr>
        <w:rFonts w:ascii="Arial" w:hAnsi="Arial" w:hint="default"/>
      </w:rPr>
    </w:lvl>
    <w:lvl w:ilvl="3" w:tplc="06403F7E" w:tentative="1">
      <w:start w:val="1"/>
      <w:numFmt w:val="bullet"/>
      <w:lvlText w:val="•"/>
      <w:lvlJc w:val="left"/>
      <w:pPr>
        <w:tabs>
          <w:tab w:val="num" w:pos="2880"/>
        </w:tabs>
        <w:ind w:left="2880" w:hanging="360"/>
      </w:pPr>
      <w:rPr>
        <w:rFonts w:ascii="Arial" w:hAnsi="Arial" w:hint="default"/>
      </w:rPr>
    </w:lvl>
    <w:lvl w:ilvl="4" w:tplc="5A7A79C4" w:tentative="1">
      <w:start w:val="1"/>
      <w:numFmt w:val="bullet"/>
      <w:lvlText w:val="•"/>
      <w:lvlJc w:val="left"/>
      <w:pPr>
        <w:tabs>
          <w:tab w:val="num" w:pos="3600"/>
        </w:tabs>
        <w:ind w:left="3600" w:hanging="360"/>
      </w:pPr>
      <w:rPr>
        <w:rFonts w:ascii="Arial" w:hAnsi="Arial" w:hint="default"/>
      </w:rPr>
    </w:lvl>
    <w:lvl w:ilvl="5" w:tplc="C7860FE2" w:tentative="1">
      <w:start w:val="1"/>
      <w:numFmt w:val="bullet"/>
      <w:lvlText w:val="•"/>
      <w:lvlJc w:val="left"/>
      <w:pPr>
        <w:tabs>
          <w:tab w:val="num" w:pos="4320"/>
        </w:tabs>
        <w:ind w:left="4320" w:hanging="360"/>
      </w:pPr>
      <w:rPr>
        <w:rFonts w:ascii="Arial" w:hAnsi="Arial" w:hint="default"/>
      </w:rPr>
    </w:lvl>
    <w:lvl w:ilvl="6" w:tplc="B49AE868" w:tentative="1">
      <w:start w:val="1"/>
      <w:numFmt w:val="bullet"/>
      <w:lvlText w:val="•"/>
      <w:lvlJc w:val="left"/>
      <w:pPr>
        <w:tabs>
          <w:tab w:val="num" w:pos="5040"/>
        </w:tabs>
        <w:ind w:left="5040" w:hanging="360"/>
      </w:pPr>
      <w:rPr>
        <w:rFonts w:ascii="Arial" w:hAnsi="Arial" w:hint="default"/>
      </w:rPr>
    </w:lvl>
    <w:lvl w:ilvl="7" w:tplc="5A2A9AAC" w:tentative="1">
      <w:start w:val="1"/>
      <w:numFmt w:val="bullet"/>
      <w:lvlText w:val="•"/>
      <w:lvlJc w:val="left"/>
      <w:pPr>
        <w:tabs>
          <w:tab w:val="num" w:pos="5760"/>
        </w:tabs>
        <w:ind w:left="5760" w:hanging="360"/>
      </w:pPr>
      <w:rPr>
        <w:rFonts w:ascii="Arial" w:hAnsi="Arial" w:hint="default"/>
      </w:rPr>
    </w:lvl>
    <w:lvl w:ilvl="8" w:tplc="56F43A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EF47E86"/>
    <w:multiLevelType w:val="hybridMultilevel"/>
    <w:tmpl w:val="64F0AC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1E4958"/>
    <w:multiLevelType w:val="hybridMultilevel"/>
    <w:tmpl w:val="06EE25A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C5735E"/>
    <w:multiLevelType w:val="hybridMultilevel"/>
    <w:tmpl w:val="B2CE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B75B1"/>
    <w:multiLevelType w:val="hybridMultilevel"/>
    <w:tmpl w:val="936287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337033"/>
    <w:multiLevelType w:val="multilevel"/>
    <w:tmpl w:val="5D32A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14A"/>
    <w:rsid w:val="00002EBB"/>
    <w:rsid w:val="00016A38"/>
    <w:rsid w:val="000257C8"/>
    <w:rsid w:val="0003322D"/>
    <w:rsid w:val="001112EC"/>
    <w:rsid w:val="001929A3"/>
    <w:rsid w:val="001B0C63"/>
    <w:rsid w:val="0020114A"/>
    <w:rsid w:val="00230783"/>
    <w:rsid w:val="00362677"/>
    <w:rsid w:val="00452297"/>
    <w:rsid w:val="00473141"/>
    <w:rsid w:val="004859BF"/>
    <w:rsid w:val="00487E34"/>
    <w:rsid w:val="004C4F46"/>
    <w:rsid w:val="00564FE8"/>
    <w:rsid w:val="005D18AE"/>
    <w:rsid w:val="0060695A"/>
    <w:rsid w:val="006D0F4F"/>
    <w:rsid w:val="006E467C"/>
    <w:rsid w:val="00712966"/>
    <w:rsid w:val="00724564"/>
    <w:rsid w:val="0072752D"/>
    <w:rsid w:val="00740A76"/>
    <w:rsid w:val="007A7BFF"/>
    <w:rsid w:val="00805754"/>
    <w:rsid w:val="008504EC"/>
    <w:rsid w:val="008971B2"/>
    <w:rsid w:val="009075B9"/>
    <w:rsid w:val="00A2125E"/>
    <w:rsid w:val="00A73202"/>
    <w:rsid w:val="00AC1E7B"/>
    <w:rsid w:val="00AD3AEC"/>
    <w:rsid w:val="00BD666C"/>
    <w:rsid w:val="00C47096"/>
    <w:rsid w:val="00CC58BD"/>
    <w:rsid w:val="00D307E7"/>
    <w:rsid w:val="00D317C1"/>
    <w:rsid w:val="00D51951"/>
    <w:rsid w:val="00D70DD9"/>
    <w:rsid w:val="00DE5496"/>
    <w:rsid w:val="00E629D7"/>
    <w:rsid w:val="00EF6EEE"/>
    <w:rsid w:val="00F041E8"/>
    <w:rsid w:val="00F919C9"/>
    <w:rsid w:val="00FC2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E7D448-7028-4CBA-B2E2-B92D6C88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754"/>
  </w:style>
  <w:style w:type="paragraph" w:styleId="Footer">
    <w:name w:val="footer"/>
    <w:basedOn w:val="Normal"/>
    <w:link w:val="FooterChar"/>
    <w:uiPriority w:val="99"/>
    <w:unhideWhenUsed/>
    <w:rsid w:val="00805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754"/>
  </w:style>
  <w:style w:type="paragraph" w:styleId="BalloonText">
    <w:name w:val="Balloon Text"/>
    <w:basedOn w:val="Normal"/>
    <w:link w:val="BalloonTextChar"/>
    <w:uiPriority w:val="99"/>
    <w:semiHidden/>
    <w:unhideWhenUsed/>
    <w:rsid w:val="00805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54"/>
    <w:rPr>
      <w:rFonts w:ascii="Tahoma" w:hAnsi="Tahoma" w:cs="Tahoma"/>
      <w:sz w:val="16"/>
      <w:szCs w:val="16"/>
    </w:rPr>
  </w:style>
  <w:style w:type="paragraph" w:styleId="NormalWeb">
    <w:name w:val="Normal (Web)"/>
    <w:basedOn w:val="Normal"/>
    <w:uiPriority w:val="99"/>
    <w:semiHidden/>
    <w:unhideWhenUsed/>
    <w:rsid w:val="00E629D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18AE"/>
    <w:pPr>
      <w:ind w:left="720"/>
      <w:contextualSpacing/>
    </w:pPr>
  </w:style>
  <w:style w:type="table" w:styleId="TableGrid">
    <w:name w:val="Table Grid"/>
    <w:basedOn w:val="TableNormal"/>
    <w:uiPriority w:val="39"/>
    <w:rsid w:val="00C47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2041">
      <w:bodyDiv w:val="1"/>
      <w:marLeft w:val="0"/>
      <w:marRight w:val="0"/>
      <w:marTop w:val="0"/>
      <w:marBottom w:val="0"/>
      <w:divBdr>
        <w:top w:val="none" w:sz="0" w:space="0" w:color="auto"/>
        <w:left w:val="none" w:sz="0" w:space="0" w:color="auto"/>
        <w:bottom w:val="none" w:sz="0" w:space="0" w:color="auto"/>
        <w:right w:val="none" w:sz="0" w:space="0" w:color="auto"/>
      </w:divBdr>
    </w:div>
    <w:div w:id="489560224">
      <w:bodyDiv w:val="1"/>
      <w:marLeft w:val="0"/>
      <w:marRight w:val="0"/>
      <w:marTop w:val="0"/>
      <w:marBottom w:val="0"/>
      <w:divBdr>
        <w:top w:val="none" w:sz="0" w:space="0" w:color="auto"/>
        <w:left w:val="none" w:sz="0" w:space="0" w:color="auto"/>
        <w:bottom w:val="none" w:sz="0" w:space="0" w:color="auto"/>
        <w:right w:val="none" w:sz="0" w:space="0" w:color="auto"/>
      </w:divBdr>
    </w:div>
    <w:div w:id="950354320">
      <w:bodyDiv w:val="1"/>
      <w:marLeft w:val="0"/>
      <w:marRight w:val="0"/>
      <w:marTop w:val="0"/>
      <w:marBottom w:val="0"/>
      <w:divBdr>
        <w:top w:val="none" w:sz="0" w:space="0" w:color="auto"/>
        <w:left w:val="none" w:sz="0" w:space="0" w:color="auto"/>
        <w:bottom w:val="none" w:sz="0" w:space="0" w:color="auto"/>
        <w:right w:val="none" w:sz="0" w:space="0" w:color="auto"/>
      </w:divBdr>
      <w:divsChild>
        <w:div w:id="526144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Fulks</dc:creator>
  <cp:lastModifiedBy>Miguel Rother</cp:lastModifiedBy>
  <cp:revision>2</cp:revision>
  <cp:lastPrinted>2018-10-22T15:31:00Z</cp:lastPrinted>
  <dcterms:created xsi:type="dcterms:W3CDTF">2018-10-23T18:12:00Z</dcterms:created>
  <dcterms:modified xsi:type="dcterms:W3CDTF">2018-10-23T18:12:00Z</dcterms:modified>
</cp:coreProperties>
</file>