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869E8" w14:textId="77777777" w:rsidR="009D17B9" w:rsidRDefault="009D17B9"/>
    <w:p w14:paraId="6CC3D82C" w14:textId="77777777" w:rsidR="009D17B9" w:rsidRDefault="009D17B9"/>
    <w:p w14:paraId="30490998" w14:textId="1AC963E8" w:rsidR="009D17B9" w:rsidRDefault="000A7201" w:rsidP="009D17B9">
      <w:pPr>
        <w:jc w:val="center"/>
      </w:pPr>
      <w:r>
        <w:rPr>
          <w:noProof/>
        </w:rPr>
        <w:drawing>
          <wp:inline distT="0" distB="0" distL="0" distR="0" wp14:anchorId="30405745" wp14:editId="4DC829D2">
            <wp:extent cx="3681888" cy="908966"/>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CC Logo.jpg"/>
                    <pic:cNvPicPr/>
                  </pic:nvPicPr>
                  <pic:blipFill>
                    <a:blip r:embed="rId8">
                      <a:extLst>
                        <a:ext uri="{28A0092B-C50C-407E-A947-70E740481C1C}">
                          <a14:useLocalDpi xmlns:a14="http://schemas.microsoft.com/office/drawing/2010/main" val="0"/>
                        </a:ext>
                      </a:extLst>
                    </a:blip>
                    <a:stretch>
                      <a:fillRect/>
                    </a:stretch>
                  </pic:blipFill>
                  <pic:spPr>
                    <a:xfrm>
                      <a:off x="0" y="0"/>
                      <a:ext cx="3746815" cy="924995"/>
                    </a:xfrm>
                    <a:prstGeom prst="rect">
                      <a:avLst/>
                    </a:prstGeom>
                  </pic:spPr>
                </pic:pic>
              </a:graphicData>
            </a:graphic>
          </wp:inline>
        </w:drawing>
      </w:r>
    </w:p>
    <w:p w14:paraId="7D01DE90" w14:textId="77777777" w:rsidR="009D17B9" w:rsidRDefault="009D17B9"/>
    <w:p w14:paraId="3FDAE4BC" w14:textId="77777777" w:rsidR="009D17B9" w:rsidRDefault="009D17B9"/>
    <w:p w14:paraId="4B85DD5C" w14:textId="77777777" w:rsidR="009D17B9" w:rsidRDefault="009D17B9"/>
    <w:p w14:paraId="6989DCD3" w14:textId="77777777" w:rsidR="009D17B9" w:rsidRDefault="009D17B9"/>
    <w:p w14:paraId="68E972A7" w14:textId="77777777" w:rsidR="009D17B9" w:rsidRDefault="009D17B9"/>
    <w:p w14:paraId="5EE04F00" w14:textId="6ED52CC0" w:rsidR="009D17B9" w:rsidRDefault="00DD0A3C" w:rsidP="009D17B9">
      <w:pPr>
        <w:jc w:val="center"/>
        <w:rPr>
          <w:b/>
          <w:sz w:val="44"/>
          <w:szCs w:val="44"/>
        </w:rPr>
      </w:pPr>
      <w:r>
        <w:rPr>
          <w:b/>
          <w:sz w:val="44"/>
          <w:szCs w:val="44"/>
        </w:rPr>
        <w:t>5</w:t>
      </w:r>
      <w:r w:rsidR="00576043">
        <w:rPr>
          <w:b/>
          <w:sz w:val="44"/>
          <w:szCs w:val="44"/>
        </w:rPr>
        <w:t>5</w:t>
      </w:r>
      <w:r w:rsidR="007D4F38">
        <w:rPr>
          <w:b/>
          <w:sz w:val="44"/>
          <w:szCs w:val="44"/>
          <w:vertAlign w:val="superscript"/>
        </w:rPr>
        <w:t>th</w:t>
      </w:r>
      <w:r w:rsidR="008434BB">
        <w:rPr>
          <w:b/>
          <w:sz w:val="44"/>
          <w:szCs w:val="44"/>
        </w:rPr>
        <w:t xml:space="preserve"> </w:t>
      </w:r>
      <w:r w:rsidR="009D17B9" w:rsidRPr="009D17B9">
        <w:rPr>
          <w:b/>
          <w:sz w:val="44"/>
          <w:szCs w:val="44"/>
        </w:rPr>
        <w:t>SESSION</w:t>
      </w:r>
      <w:r>
        <w:rPr>
          <w:b/>
          <w:sz w:val="44"/>
          <w:szCs w:val="44"/>
        </w:rPr>
        <w:t xml:space="preserve"> RESOLUTIONS</w:t>
      </w:r>
    </w:p>
    <w:p w14:paraId="6C5C0238" w14:textId="20CE1BED" w:rsidR="0025203D" w:rsidRPr="009D17B9" w:rsidRDefault="0025203D" w:rsidP="009D17B9">
      <w:pPr>
        <w:jc w:val="center"/>
        <w:rPr>
          <w:b/>
          <w:sz w:val="44"/>
          <w:szCs w:val="44"/>
        </w:rPr>
      </w:pPr>
      <w:r>
        <w:rPr>
          <w:b/>
          <w:sz w:val="44"/>
          <w:szCs w:val="44"/>
        </w:rPr>
        <w:t>Spring Plenary</w:t>
      </w:r>
    </w:p>
    <w:p w14:paraId="5E43A723" w14:textId="77777777" w:rsidR="009D17B9" w:rsidRDefault="009D17B9" w:rsidP="009D17B9">
      <w:pPr>
        <w:jc w:val="center"/>
        <w:rPr>
          <w:sz w:val="44"/>
          <w:szCs w:val="44"/>
        </w:rPr>
      </w:pPr>
    </w:p>
    <w:p w14:paraId="571802E2" w14:textId="77777777" w:rsidR="00B4658B" w:rsidRDefault="00B4658B" w:rsidP="009D17B9">
      <w:pPr>
        <w:jc w:val="center"/>
        <w:rPr>
          <w:sz w:val="44"/>
          <w:szCs w:val="44"/>
        </w:rPr>
      </w:pPr>
    </w:p>
    <w:p w14:paraId="4F336B7F" w14:textId="77777777" w:rsidR="00B4658B" w:rsidRPr="009D17B9" w:rsidRDefault="00B4658B" w:rsidP="009D17B9">
      <w:pPr>
        <w:jc w:val="center"/>
        <w:rPr>
          <w:sz w:val="44"/>
          <w:szCs w:val="44"/>
        </w:rPr>
      </w:pPr>
    </w:p>
    <w:p w14:paraId="6C28A2A2" w14:textId="798194AB" w:rsidR="00DE32CA" w:rsidRDefault="009D17B9" w:rsidP="009D17B9">
      <w:pPr>
        <w:jc w:val="center"/>
        <w:rPr>
          <w:b/>
          <w:i/>
          <w:sz w:val="44"/>
          <w:szCs w:val="44"/>
        </w:rPr>
      </w:pPr>
      <w:r w:rsidRPr="00B4658B">
        <w:rPr>
          <w:b/>
          <w:i/>
          <w:sz w:val="44"/>
          <w:szCs w:val="44"/>
        </w:rPr>
        <w:t>FOR DISCUS</w:t>
      </w:r>
      <w:r w:rsidR="00DE32CA">
        <w:rPr>
          <w:b/>
          <w:i/>
          <w:sz w:val="44"/>
          <w:szCs w:val="44"/>
        </w:rPr>
        <w:t>SION</w:t>
      </w:r>
      <w:r w:rsidR="00BE6B71">
        <w:rPr>
          <w:b/>
          <w:i/>
          <w:sz w:val="44"/>
          <w:szCs w:val="44"/>
        </w:rPr>
        <w:t xml:space="preserve"> </w:t>
      </w:r>
      <w:r w:rsidR="007D4F38">
        <w:rPr>
          <w:b/>
          <w:i/>
          <w:sz w:val="44"/>
          <w:szCs w:val="44"/>
        </w:rPr>
        <w:t>AT AREA MEETINGS</w:t>
      </w:r>
      <w:r w:rsidR="00BE6B71">
        <w:rPr>
          <w:b/>
          <w:i/>
          <w:sz w:val="44"/>
          <w:szCs w:val="44"/>
        </w:rPr>
        <w:t xml:space="preserve">, </w:t>
      </w:r>
    </w:p>
    <w:p w14:paraId="646FD862" w14:textId="40D18CAE" w:rsidR="009D17B9" w:rsidRPr="00B4658B" w:rsidRDefault="00576043" w:rsidP="009D17B9">
      <w:pPr>
        <w:jc w:val="center"/>
        <w:rPr>
          <w:b/>
          <w:i/>
          <w:sz w:val="44"/>
          <w:szCs w:val="44"/>
        </w:rPr>
      </w:pPr>
      <w:r>
        <w:rPr>
          <w:b/>
          <w:i/>
          <w:sz w:val="44"/>
          <w:szCs w:val="44"/>
        </w:rPr>
        <w:t>MARCH 27 &amp; 28, 2020</w:t>
      </w:r>
    </w:p>
    <w:p w14:paraId="31CD0C4E" w14:textId="77777777" w:rsidR="009D17B9" w:rsidRDefault="009D17B9"/>
    <w:p w14:paraId="225DEAF9" w14:textId="77777777" w:rsidR="009D17B9" w:rsidRDefault="009D17B9"/>
    <w:p w14:paraId="02AFC759" w14:textId="77777777" w:rsidR="00B4658B" w:rsidRDefault="00B4658B"/>
    <w:p w14:paraId="2C7F5D80" w14:textId="77777777" w:rsidR="00B4658B" w:rsidRDefault="00B4658B"/>
    <w:p w14:paraId="700AD454" w14:textId="19DDFD96" w:rsidR="00BF12BC" w:rsidRPr="008A6887" w:rsidRDefault="003F654F">
      <w:pPr>
        <w:rPr>
          <w:i/>
          <w:sz w:val="32"/>
          <w:szCs w:val="32"/>
        </w:rPr>
      </w:pPr>
      <w:r w:rsidRPr="008A6887">
        <w:rPr>
          <w:i/>
          <w:sz w:val="32"/>
          <w:szCs w:val="32"/>
        </w:rPr>
        <w:t>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w:t>
      </w:r>
      <w:r w:rsidR="00576043">
        <w:rPr>
          <w:i/>
          <w:sz w:val="32"/>
          <w:szCs w:val="32"/>
        </w:rPr>
        <w:t xml:space="preserve"> the Plenary Session on April 18, 2020</w:t>
      </w:r>
      <w:r w:rsidRPr="008A6887">
        <w:rPr>
          <w:i/>
          <w:sz w:val="32"/>
          <w:szCs w:val="32"/>
        </w:rPr>
        <w:t>.</w:t>
      </w:r>
    </w:p>
    <w:p w14:paraId="389C393A" w14:textId="77777777" w:rsidR="003F654F" w:rsidRDefault="003F654F"/>
    <w:p w14:paraId="2D32CBE0" w14:textId="77777777" w:rsidR="00B4658B" w:rsidRDefault="00B4658B"/>
    <w:p w14:paraId="73A4462B" w14:textId="77777777" w:rsidR="003F654F" w:rsidRDefault="003F654F"/>
    <w:p w14:paraId="0024D39D" w14:textId="433A7254" w:rsidR="003F654F" w:rsidRPr="00CF3964" w:rsidRDefault="00AE6D29" w:rsidP="00CF3964">
      <w:pPr>
        <w:jc w:val="center"/>
        <w:rPr>
          <w:u w:val="single"/>
        </w:rPr>
      </w:pPr>
      <w:r>
        <w:rPr>
          <w:u w:val="single"/>
        </w:rPr>
        <w:t>Resolutions Committee 2019-20</w:t>
      </w:r>
    </w:p>
    <w:p w14:paraId="6B14700E" w14:textId="558D2B8D" w:rsidR="003F654F" w:rsidRDefault="000A68FF" w:rsidP="00CF3964">
      <w:pPr>
        <w:jc w:val="center"/>
      </w:pPr>
      <w:r>
        <w:t>Geoffrey Dyer</w:t>
      </w:r>
      <w:r w:rsidR="003F654F">
        <w:t>, ASCCC Area A Representative (Chair)</w:t>
      </w:r>
    </w:p>
    <w:p w14:paraId="23CCA920" w14:textId="5341452D" w:rsidR="00AE6D29" w:rsidRDefault="00AE6D29" w:rsidP="00CF3964">
      <w:pPr>
        <w:jc w:val="center"/>
      </w:pPr>
      <w:r>
        <w:t>Julie Clark, Merced College, Area A</w:t>
      </w:r>
    </w:p>
    <w:p w14:paraId="63FAF09A" w14:textId="40E61DF1" w:rsidR="003F654F" w:rsidRDefault="00AC047B" w:rsidP="00CF3964">
      <w:pPr>
        <w:jc w:val="center"/>
      </w:pPr>
      <w:r>
        <w:t>Nathaniel Donahue, ASCCC At-L</w:t>
      </w:r>
      <w:r w:rsidR="00AE6D29">
        <w:t>arge</w:t>
      </w:r>
      <w:r w:rsidR="003F654F">
        <w:t xml:space="preserve"> Representative</w:t>
      </w:r>
      <w:r w:rsidR="00AE6D29">
        <w:t>, Area C</w:t>
      </w:r>
    </w:p>
    <w:p w14:paraId="088E24C2" w14:textId="623BB3DC" w:rsidR="00AE6D29" w:rsidRDefault="00AE6D29" w:rsidP="00CF3964">
      <w:pPr>
        <w:jc w:val="center"/>
      </w:pPr>
      <w:r>
        <w:t>Maria Figueroa, Mira Costa College, Area D</w:t>
      </w:r>
    </w:p>
    <w:p w14:paraId="6067C79D" w14:textId="77777777" w:rsidR="00AE6D29" w:rsidRDefault="00C77583" w:rsidP="00CF3964">
      <w:pPr>
        <w:jc w:val="center"/>
      </w:pPr>
      <w:r>
        <w:t>Eric Narveson, Evergreen Valley College, Area B</w:t>
      </w:r>
    </w:p>
    <w:p w14:paraId="77474434" w14:textId="3EEBC760" w:rsidR="00C77583" w:rsidRDefault="00C77583" w:rsidP="00CF3964">
      <w:pPr>
        <w:jc w:val="center"/>
      </w:pPr>
    </w:p>
    <w:p w14:paraId="4B8F6B76" w14:textId="48F17962" w:rsidR="00FE2FCA" w:rsidRDefault="00FE2FCA">
      <w:r>
        <w:br w:type="page"/>
      </w:r>
    </w:p>
    <w:p w14:paraId="3455F080" w14:textId="77777777" w:rsidR="00811182" w:rsidRDefault="00811182" w:rsidP="00EF1534">
      <w:pPr>
        <w:jc w:val="center"/>
        <w:sectPr w:rsidR="00811182" w:rsidSect="00811182">
          <w:footerReference w:type="even" r:id="rId9"/>
          <w:pgSz w:w="12240" w:h="15840"/>
          <w:pgMar w:top="1440" w:right="1800" w:bottom="1440" w:left="1800" w:header="720" w:footer="720" w:gutter="0"/>
          <w:pgNumType w:fmt="lowerRoman" w:start="1"/>
          <w:cols w:space="720"/>
          <w:docGrid w:linePitch="360"/>
        </w:sectPr>
      </w:pPr>
    </w:p>
    <w:p w14:paraId="72CA9105" w14:textId="44A97763" w:rsidR="00B4658B" w:rsidRDefault="00FF3782" w:rsidP="00EF1534">
      <w:pPr>
        <w:jc w:val="center"/>
      </w:pPr>
      <w:r>
        <w:lastRenderedPageBreak/>
        <w:t>RESOLUTIONS PROCESS</w:t>
      </w:r>
    </w:p>
    <w:p w14:paraId="232570E6" w14:textId="77777777" w:rsidR="00FF3782" w:rsidRDefault="00FF3782"/>
    <w:p w14:paraId="4953E04F" w14:textId="7AB97714" w:rsidR="00FF3782" w:rsidRDefault="00FF3782">
      <w:r>
        <w:t>In order to ensure that deliberations are organized, effective, and meaningful, the Academic Senate uses the following resolution procedure:</w:t>
      </w:r>
    </w:p>
    <w:p w14:paraId="1DB9C4A4" w14:textId="77777777" w:rsidR="00FF3782" w:rsidRDefault="00FF3782"/>
    <w:p w14:paraId="1543EE3A" w14:textId="7CE84B41" w:rsidR="00DE4725" w:rsidRDefault="00DE4725" w:rsidP="00DE4725">
      <w:pPr>
        <w:pStyle w:val="ListParagraph"/>
        <w:numPr>
          <w:ilvl w:val="0"/>
          <w:numId w:val="1"/>
        </w:numPr>
      </w:pPr>
      <w:r>
        <w:t>Pre-session resolutions are developed by the Executive Committee (</w:t>
      </w:r>
      <w:r w:rsidR="004F0356">
        <w:t>through its committees) and submitted to the pre-session Area Meetings for review.</w:t>
      </w:r>
    </w:p>
    <w:p w14:paraId="1E95E716" w14:textId="5A4723C6" w:rsidR="004F0356" w:rsidRDefault="004F0356" w:rsidP="00DE4725">
      <w:pPr>
        <w:pStyle w:val="ListParagraph"/>
        <w:numPr>
          <w:ilvl w:val="0"/>
          <w:numId w:val="1"/>
        </w:numPr>
      </w:pPr>
      <w:r>
        <w:t>Amendments and new pre-session resolutions are generated in the Area Meetings.</w:t>
      </w:r>
    </w:p>
    <w:p w14:paraId="769C03B5" w14:textId="5F868EDB" w:rsidR="004F0356" w:rsidRDefault="00652F2F" w:rsidP="00DE4725">
      <w:pPr>
        <w:pStyle w:val="ListParagraph"/>
        <w:numPr>
          <w:ilvl w:val="0"/>
          <w:numId w:val="1"/>
        </w:numPr>
      </w:pPr>
      <w:r>
        <w:t>The Resolutions Committee meets to review all pre-session resolutions and combine, re-word, append, or render moot these resolutions as necessary.</w:t>
      </w:r>
    </w:p>
    <w:p w14:paraId="10567300" w14:textId="62E9280A" w:rsidR="00652F2F" w:rsidRDefault="001F3F89" w:rsidP="00DE4725">
      <w:pPr>
        <w:pStyle w:val="ListParagraph"/>
        <w:numPr>
          <w:ilvl w:val="0"/>
          <w:numId w:val="1"/>
        </w:numPr>
      </w:pPr>
      <w:r>
        <w:t>Members of the Senate meet during the session in topic breakouts and give thoughtful consideration to the need for new resolutions and/or amendments.</w:t>
      </w:r>
    </w:p>
    <w:p w14:paraId="25B20464" w14:textId="427B791C" w:rsidR="001F3F89" w:rsidRDefault="001F3F89" w:rsidP="00DE4725">
      <w:pPr>
        <w:pStyle w:val="ListParagraph"/>
        <w:numPr>
          <w:ilvl w:val="0"/>
          <w:numId w:val="1"/>
        </w:numPr>
      </w:pPr>
      <w:r>
        <w:t xml:space="preserve">After </w:t>
      </w:r>
      <w:r w:rsidRPr="00F1404C">
        <w:t>all</w:t>
      </w:r>
      <w:r>
        <w:t xml:space="preserve"> Session presentations are finished each day, members meet during the resolutions break</w:t>
      </w:r>
      <w:r w:rsidR="00061624">
        <w:t>outs to discuss the need</w:t>
      </w:r>
      <w:r>
        <w:t xml:space="preserve"> for new resolutions and/or amendments.</w:t>
      </w:r>
      <w:r w:rsidR="00061624">
        <w:t xml:space="preserve"> Each resolution or amendment must be submitted to the Resolutions Chair before the posted deadlines each day. There are also Area meetings at the Session for discussing, writing, or amending resolutions.</w:t>
      </w:r>
    </w:p>
    <w:p w14:paraId="1468AAEE" w14:textId="354C6914" w:rsidR="001F3F89" w:rsidRPr="00FB7DF8" w:rsidRDefault="0088494D" w:rsidP="00DE4725">
      <w:pPr>
        <w:pStyle w:val="ListParagraph"/>
        <w:numPr>
          <w:ilvl w:val="0"/>
          <w:numId w:val="1"/>
        </w:numPr>
      </w:pPr>
      <w:r w:rsidRPr="00FB7DF8">
        <w:t>New resolutions submitted on the second day of session are held to the next session unless the resolution is declared urgent</w:t>
      </w:r>
      <w:r w:rsidR="00E20A1C" w:rsidRPr="00FB7DF8">
        <w:t xml:space="preserve"> by the Executive Committee</w:t>
      </w:r>
      <w:r w:rsidRPr="00FB7DF8">
        <w:t>.</w:t>
      </w:r>
    </w:p>
    <w:p w14:paraId="4A7CE0FF" w14:textId="033B1696" w:rsidR="0088494D" w:rsidRDefault="0088494D" w:rsidP="00DE4725">
      <w:pPr>
        <w:pStyle w:val="ListParagraph"/>
        <w:numPr>
          <w:ilvl w:val="0"/>
          <w:numId w:val="1"/>
        </w:numPr>
      </w:pPr>
      <w:r>
        <w:t>The Resolutions Committee meets again to review all resolutions and amendments and to combine, re-word, append, or render moot the resolutions as necessary.</w:t>
      </w:r>
    </w:p>
    <w:p w14:paraId="0CDE29E0" w14:textId="01C7FD72" w:rsidR="0088494D" w:rsidRPr="00FB7DF8" w:rsidRDefault="0088494D" w:rsidP="00DE4725">
      <w:pPr>
        <w:pStyle w:val="ListParagraph"/>
        <w:numPr>
          <w:ilvl w:val="0"/>
          <w:numId w:val="1"/>
        </w:numPr>
      </w:pPr>
      <w:r w:rsidRPr="00FB7DF8">
        <w:t xml:space="preserve">The resolutions </w:t>
      </w:r>
      <w:r w:rsidR="007968C0" w:rsidRPr="00FB7DF8">
        <w:t>a</w:t>
      </w:r>
      <w:r w:rsidRPr="00FB7DF8">
        <w:t>re debated and voted upon in the general sessions on the last day of the Plenary Session</w:t>
      </w:r>
      <w:r w:rsidR="00877E84" w:rsidRPr="00FB7DF8">
        <w:t xml:space="preserve"> by the delegates</w:t>
      </w:r>
      <w:r w:rsidRPr="00FB7DF8">
        <w:t>.</w:t>
      </w:r>
    </w:p>
    <w:p w14:paraId="41F91E64" w14:textId="37768915" w:rsidR="0088494D" w:rsidRDefault="0088494D" w:rsidP="00DE4725">
      <w:pPr>
        <w:pStyle w:val="ListParagraph"/>
        <w:numPr>
          <w:ilvl w:val="0"/>
          <w:numId w:val="1"/>
        </w:numPr>
      </w:pPr>
      <w:r>
        <w:t>All appendices are available on the ASCCC website.</w:t>
      </w:r>
    </w:p>
    <w:p w14:paraId="2D5F2E0E" w14:textId="77777777" w:rsidR="0088494D" w:rsidRDefault="0088494D" w:rsidP="0088494D"/>
    <w:p w14:paraId="495DD590" w14:textId="15AD2C1E" w:rsidR="0088494D" w:rsidRDefault="0088494D" w:rsidP="0088494D">
      <w:r>
        <w:t>Prior to plenary session, it is each attendee’s responsibility to read t</w:t>
      </w:r>
      <w:r w:rsidR="004637EA">
        <w:t>he following documents</w:t>
      </w:r>
      <w:r>
        <w:t>:</w:t>
      </w:r>
    </w:p>
    <w:p w14:paraId="798E249D" w14:textId="77777777" w:rsidR="0088494D" w:rsidRDefault="0088494D" w:rsidP="0088494D"/>
    <w:p w14:paraId="1DB36604" w14:textId="5DE46C64" w:rsidR="0088494D" w:rsidRDefault="0088494D" w:rsidP="0088494D">
      <w:pPr>
        <w:pStyle w:val="ListParagraph"/>
        <w:numPr>
          <w:ilvl w:val="0"/>
          <w:numId w:val="2"/>
        </w:numPr>
      </w:pPr>
      <w:r>
        <w:t>Senate Delegate Roles and Responsibilities</w:t>
      </w:r>
      <w:r w:rsidR="00E6292D">
        <w:t xml:space="preserve"> (link in Local Senates Handbook or click </w:t>
      </w:r>
      <w:hyperlink r:id="rId10" w:history="1">
        <w:r w:rsidR="00E6292D" w:rsidRPr="00E6292D">
          <w:rPr>
            <w:rStyle w:val="Hyperlink"/>
          </w:rPr>
          <w:t>here</w:t>
        </w:r>
      </w:hyperlink>
      <w:r w:rsidR="00E6292D">
        <w:t>)</w:t>
      </w:r>
    </w:p>
    <w:p w14:paraId="045389FA" w14:textId="2E12B2AC" w:rsidR="0088494D" w:rsidRDefault="0088494D" w:rsidP="0088494D">
      <w:pPr>
        <w:pStyle w:val="ListParagraph"/>
        <w:numPr>
          <w:ilvl w:val="0"/>
          <w:numId w:val="2"/>
        </w:numPr>
      </w:pPr>
      <w:r>
        <w:t>Resolution Procedures</w:t>
      </w:r>
      <w:r w:rsidR="004637EA">
        <w:t xml:space="preserve"> (</w:t>
      </w:r>
      <w:r w:rsidR="00E6292D">
        <w:t xml:space="preserve">Part II in </w:t>
      </w:r>
      <w:r w:rsidR="004637EA">
        <w:t>Resolutions Handbook)</w:t>
      </w:r>
    </w:p>
    <w:p w14:paraId="353DDFD2" w14:textId="1E5D3831" w:rsidR="0088494D" w:rsidRDefault="0088494D" w:rsidP="0088494D">
      <w:pPr>
        <w:pStyle w:val="ListParagraph"/>
        <w:numPr>
          <w:ilvl w:val="0"/>
          <w:numId w:val="2"/>
        </w:numPr>
      </w:pPr>
      <w:r>
        <w:t>Resolution Writing and General Advice</w:t>
      </w:r>
      <w:r w:rsidR="004637EA">
        <w:t xml:space="preserve"> (</w:t>
      </w:r>
      <w:r w:rsidR="00E6292D">
        <w:t xml:space="preserve">Part III in </w:t>
      </w:r>
      <w:r w:rsidR="004637EA">
        <w:t>Resolutions Handbook)</w:t>
      </w:r>
    </w:p>
    <w:p w14:paraId="67E8432E" w14:textId="77777777" w:rsidR="0088494D" w:rsidRDefault="0088494D" w:rsidP="0088494D"/>
    <w:p w14:paraId="14F59E19" w14:textId="67A524A9" w:rsidR="0088494D" w:rsidRDefault="0088494D" w:rsidP="0088494D">
      <w:r>
        <w:t>New delegates are strongly encouraged to attend the New Delegate Orientation on Thursday morning prior to the first breakout session.</w:t>
      </w:r>
    </w:p>
    <w:p w14:paraId="43158810" w14:textId="2C11A3AF" w:rsidR="00D11AFB" w:rsidRDefault="00D11AFB">
      <w:r>
        <w:br w:type="page"/>
      </w:r>
    </w:p>
    <w:p w14:paraId="3BC12A32" w14:textId="51585F1D" w:rsidR="00D11AFB" w:rsidRDefault="00D11AFB" w:rsidP="00804E83">
      <w:pPr>
        <w:jc w:val="center"/>
      </w:pPr>
      <w:r>
        <w:lastRenderedPageBreak/>
        <w:t>CONSENT CALENDAR</w:t>
      </w:r>
    </w:p>
    <w:p w14:paraId="7C7C8DC9" w14:textId="77777777" w:rsidR="00D11AFB" w:rsidRDefault="00D11AFB" w:rsidP="0088494D"/>
    <w:p w14:paraId="4645C88E" w14:textId="34979E6A" w:rsidR="00D11AFB" w:rsidRDefault="00D11AFB" w:rsidP="0088494D">
      <w:r>
        <w:t>The resolutions that have been placed on the Consent Calendar 1) were bel</w:t>
      </w:r>
      <w:r w:rsidR="00804E83">
        <w:t>ieved to be noncontroversial, 2)</w:t>
      </w:r>
      <w:r>
        <w:t xml:space="preserve"> do not potentia</w:t>
      </w:r>
      <w:r w:rsidR="00804E83">
        <w:t>lly reverse a previous position,</w:t>
      </w:r>
      <w:r>
        <w:t xml:space="preserve"> and 3) do not compete with anot</w:t>
      </w:r>
      <w:r w:rsidR="00804E83">
        <w:t>her proposed resolution. Resolut</w:t>
      </w:r>
      <w:r>
        <w:t xml:space="preserve">ions that meet these </w:t>
      </w:r>
      <w:r w:rsidR="00804E83">
        <w:t xml:space="preserve">criteria and any subsequent clarifying amendments have been included on the Consent Calendar. To remove a resolution from the Consent Calendar, please see the Consent Calendar section of the </w:t>
      </w:r>
      <w:r w:rsidR="00804E83" w:rsidRPr="00804E83">
        <w:rPr>
          <w:i/>
        </w:rPr>
        <w:t>Resolutions Procedures for the Plenary Session</w:t>
      </w:r>
      <w:r w:rsidR="00804E83">
        <w:t>.</w:t>
      </w:r>
    </w:p>
    <w:p w14:paraId="127BDB45" w14:textId="77777777" w:rsidR="00804E83" w:rsidRDefault="00804E83" w:rsidP="0088494D"/>
    <w:p w14:paraId="37A512C3" w14:textId="3509307F" w:rsidR="00804E83" w:rsidRDefault="00804E83" w:rsidP="0088494D">
      <w:r>
        <w:t>Consent Calendar resolutions and amendments are marked with an *.</w:t>
      </w:r>
    </w:p>
    <w:p w14:paraId="4B486C25" w14:textId="187E67C6" w:rsidR="003168A5" w:rsidRDefault="003168A5" w:rsidP="0088494D">
      <w:r>
        <w:t>Resolutions</w:t>
      </w:r>
      <w:r w:rsidR="005062B3">
        <w:t xml:space="preserve"> and amendments submitted on Thursday</w:t>
      </w:r>
      <w:r>
        <w:t xml:space="preserve"> are marked with a +.</w:t>
      </w:r>
    </w:p>
    <w:p w14:paraId="5278B6F3" w14:textId="214C4CF1" w:rsidR="00BB0A7A" w:rsidRDefault="003168A5" w:rsidP="00BB0A7A">
      <w:r>
        <w:t>Resolutions</w:t>
      </w:r>
      <w:r w:rsidR="005062B3">
        <w:t xml:space="preserve"> and amendments submitted on Friday</w:t>
      </w:r>
      <w:r w:rsidR="006D2D00">
        <w:t xml:space="preserve"> are marked with a #.</w:t>
      </w:r>
    </w:p>
    <w:p w14:paraId="693577F9" w14:textId="73A17D5D" w:rsidR="006616DB" w:rsidRDefault="00B77585" w:rsidP="006616DB">
      <w:pPr>
        <w:pStyle w:val="TOC1"/>
        <w:tabs>
          <w:tab w:val="right" w:leader="dot" w:pos="8630"/>
        </w:tabs>
        <w:rPr>
          <w:rFonts w:asciiTheme="minorHAnsi" w:eastAsiaTheme="minorEastAsia" w:hAnsiTheme="minorHAnsi"/>
          <w:b w:val="0"/>
          <w:bCs w:val="0"/>
          <w:noProof/>
          <w:sz w:val="22"/>
          <w:szCs w:val="22"/>
        </w:rPr>
      </w:pPr>
      <w:r>
        <w:rPr>
          <w:rStyle w:val="Hyperlink"/>
          <w:color w:val="000000" w:themeColor="text1"/>
          <w:u w:val="none"/>
        </w:rPr>
        <w:br/>
      </w:r>
    </w:p>
    <w:p w14:paraId="6AA6A633" w14:textId="77777777" w:rsidR="006616DB" w:rsidRPr="005872E0" w:rsidRDefault="006616DB" w:rsidP="005872E0">
      <w:pPr>
        <w:pStyle w:val="Heading2ResolutionTitle"/>
        <w:ind w:left="720"/>
        <w:rPr>
          <w:b w:val="0"/>
        </w:rPr>
      </w:pPr>
      <w:bookmarkStart w:id="0" w:name="_Toc34645325"/>
      <w:r w:rsidRPr="005872E0">
        <w:rPr>
          <w:b w:val="0"/>
        </w:rPr>
        <w:t>*1.01</w:t>
      </w:r>
      <w:r w:rsidRPr="005872E0">
        <w:rPr>
          <w:b w:val="0"/>
        </w:rPr>
        <w:tab/>
        <w:t>S20 Adopt Updated ASCCC Vision, Mission, and Values Statements</w:t>
      </w:r>
      <w:bookmarkEnd w:id="0"/>
    </w:p>
    <w:p w14:paraId="1D78AEDF" w14:textId="77777777" w:rsidR="006616DB" w:rsidRPr="005872E0" w:rsidRDefault="006616DB" w:rsidP="005872E0">
      <w:pPr>
        <w:pStyle w:val="Heading2ResolutionTitle"/>
        <w:ind w:left="720"/>
        <w:rPr>
          <w:b w:val="0"/>
        </w:rPr>
      </w:pPr>
      <w:bookmarkStart w:id="1" w:name="_Toc34645326"/>
      <w:r w:rsidRPr="005872E0">
        <w:rPr>
          <w:b w:val="0"/>
        </w:rPr>
        <w:t>*3.01</w:t>
      </w:r>
      <w:r w:rsidRPr="005872E0">
        <w:rPr>
          <w:b w:val="0"/>
        </w:rPr>
        <w:tab/>
        <w:t>S20 Support The Anti-Racism Pledge</w:t>
      </w:r>
      <w:bookmarkEnd w:id="1"/>
    </w:p>
    <w:p w14:paraId="61E80E1B" w14:textId="1726CD92" w:rsidR="005872E0" w:rsidRPr="005872E0" w:rsidRDefault="005872E0" w:rsidP="005872E0">
      <w:pPr>
        <w:pStyle w:val="Heading2ResolutionTitle"/>
        <w:ind w:left="720"/>
        <w:rPr>
          <w:b w:val="0"/>
          <w:i/>
        </w:rPr>
      </w:pPr>
      <w:bookmarkStart w:id="2" w:name="_Toc34645327"/>
      <w:r w:rsidRPr="005872E0">
        <w:rPr>
          <w:b w:val="0"/>
        </w:rPr>
        <w:t>*3.02</w:t>
      </w:r>
      <w:r w:rsidRPr="005872E0">
        <w:rPr>
          <w:b w:val="0"/>
        </w:rPr>
        <w:tab/>
        <w:t xml:space="preserve">S20 </w:t>
      </w:r>
      <w:r w:rsidRPr="005872E0">
        <w:rPr>
          <w:b w:val="0"/>
          <w:i/>
        </w:rPr>
        <w:t>Anti-Racism in California Community Colleges—An Academic Senate Paper</w:t>
      </w:r>
      <w:bookmarkEnd w:id="2"/>
    </w:p>
    <w:p w14:paraId="77319FCF" w14:textId="3831311D" w:rsidR="005872E0" w:rsidRPr="005872E0" w:rsidRDefault="005872E0" w:rsidP="005872E0">
      <w:pPr>
        <w:pStyle w:val="Heading2ResolutionTitle"/>
        <w:ind w:left="720"/>
        <w:rPr>
          <w:b w:val="0"/>
          <w:i/>
        </w:rPr>
      </w:pPr>
      <w:bookmarkStart w:id="3" w:name="_Toc34645328"/>
      <w:r w:rsidRPr="005872E0">
        <w:rPr>
          <w:b w:val="0"/>
        </w:rPr>
        <w:t>*3.03</w:t>
      </w:r>
      <w:r w:rsidRPr="005872E0">
        <w:rPr>
          <w:b w:val="0"/>
        </w:rPr>
        <w:tab/>
        <w:t>S20 Recommendation to Update Title 5 Language for Minimum Qualifications</w:t>
      </w:r>
      <w:bookmarkEnd w:id="3"/>
      <w:r w:rsidRPr="005872E0">
        <w:rPr>
          <w:b w:val="0"/>
          <w:i/>
        </w:rPr>
        <w:t xml:space="preserve"> </w:t>
      </w:r>
    </w:p>
    <w:p w14:paraId="5235EBF8" w14:textId="79AA590A" w:rsidR="005872E0" w:rsidRPr="005872E0" w:rsidRDefault="005872E0" w:rsidP="005872E0">
      <w:pPr>
        <w:pStyle w:val="Heading2ResolutionTitle"/>
        <w:ind w:left="720"/>
        <w:rPr>
          <w:b w:val="0"/>
        </w:rPr>
      </w:pPr>
      <w:bookmarkStart w:id="4" w:name="_Toc34645329"/>
      <w:r w:rsidRPr="005872E0">
        <w:rPr>
          <w:b w:val="0"/>
        </w:rPr>
        <w:t>*9.01</w:t>
      </w:r>
      <w:r w:rsidRPr="005872E0">
        <w:rPr>
          <w:b w:val="0"/>
        </w:rPr>
        <w:tab/>
        <w:t>S20 Recommendations for the Implementation of a No-Cost Designation in Course Schedules</w:t>
      </w:r>
      <w:bookmarkEnd w:id="4"/>
    </w:p>
    <w:p w14:paraId="40113106" w14:textId="77777777" w:rsidR="005872E0" w:rsidRPr="005872E0" w:rsidRDefault="005872E0" w:rsidP="005872E0">
      <w:pPr>
        <w:pStyle w:val="Heading2ResolutionTitle"/>
        <w:ind w:left="720"/>
        <w:rPr>
          <w:b w:val="0"/>
        </w:rPr>
      </w:pPr>
      <w:bookmarkStart w:id="5" w:name="_Toc34645330"/>
      <w:r w:rsidRPr="005872E0">
        <w:rPr>
          <w:b w:val="0"/>
        </w:rPr>
        <w:t>*10.01</w:t>
      </w:r>
      <w:r w:rsidRPr="005872E0">
        <w:rPr>
          <w:b w:val="0"/>
        </w:rPr>
        <w:tab/>
        <w:t xml:space="preserve">S20 </w:t>
      </w:r>
      <w:r w:rsidRPr="008E764A">
        <w:rPr>
          <w:b w:val="0"/>
          <w:i/>
        </w:rPr>
        <w:t>Disciplines List</w:t>
      </w:r>
      <w:r w:rsidRPr="005872E0">
        <w:rPr>
          <w:b w:val="0"/>
        </w:rPr>
        <w:t>—Registered Behavior Technician</w:t>
      </w:r>
      <w:bookmarkEnd w:id="5"/>
      <w:r w:rsidRPr="005872E0">
        <w:rPr>
          <w:b w:val="0"/>
        </w:rPr>
        <w:t xml:space="preserve"> </w:t>
      </w:r>
    </w:p>
    <w:p w14:paraId="04A967FA" w14:textId="77777777" w:rsidR="005872E0" w:rsidRPr="005872E0" w:rsidRDefault="005872E0" w:rsidP="005872E0">
      <w:pPr>
        <w:pStyle w:val="Heading2ResolutionTitle"/>
        <w:ind w:left="720"/>
        <w:rPr>
          <w:b w:val="0"/>
        </w:rPr>
      </w:pPr>
      <w:bookmarkStart w:id="6" w:name="_Toc34645331"/>
      <w:r w:rsidRPr="005872E0">
        <w:rPr>
          <w:b w:val="0"/>
        </w:rPr>
        <w:t>*10.02</w:t>
      </w:r>
      <w:r w:rsidRPr="005872E0">
        <w:rPr>
          <w:b w:val="0"/>
        </w:rPr>
        <w:tab/>
        <w:t xml:space="preserve">S20 Update the Paper </w:t>
      </w:r>
      <w:r w:rsidRPr="008E764A">
        <w:rPr>
          <w:b w:val="0"/>
          <w:i/>
        </w:rPr>
        <w:t>Equivalence to the Minimum Qualifications</w:t>
      </w:r>
      <w:bookmarkEnd w:id="6"/>
    </w:p>
    <w:p w14:paraId="46A9141C" w14:textId="77777777" w:rsidR="005872E0" w:rsidRDefault="005872E0" w:rsidP="005872E0">
      <w:pPr>
        <w:pStyle w:val="Heading2ResolutionTitle"/>
        <w:rPr>
          <w:i/>
        </w:rPr>
      </w:pPr>
    </w:p>
    <w:p w14:paraId="7206A7E0" w14:textId="04633636" w:rsidR="005872E0" w:rsidRDefault="005872E0">
      <w:pPr>
        <w:rPr>
          <w:rFonts w:eastAsiaTheme="majorEastAsia"/>
          <w:b/>
          <w:i/>
          <w:color w:val="000000" w:themeColor="text1"/>
        </w:rPr>
      </w:pPr>
      <w:r>
        <w:rPr>
          <w:i/>
        </w:rPr>
        <w:br w:type="page"/>
      </w:r>
    </w:p>
    <w:p w14:paraId="6D237694" w14:textId="77777777" w:rsidR="005872E0" w:rsidRPr="00EF0E57" w:rsidRDefault="005872E0" w:rsidP="005872E0">
      <w:pPr>
        <w:pStyle w:val="Heading2ResolutionTitle"/>
        <w:rPr>
          <w:i/>
        </w:rPr>
      </w:pPr>
    </w:p>
    <w:p w14:paraId="43488212" w14:textId="1553552B" w:rsidR="006616DB" w:rsidRDefault="006616DB" w:rsidP="006616DB">
      <w:pPr>
        <w:pStyle w:val="TOC2"/>
        <w:rPr>
          <w:rFonts w:asciiTheme="minorHAnsi" w:eastAsiaTheme="minorEastAsia" w:hAnsiTheme="minorHAnsi"/>
          <w:bCs w:val="0"/>
          <w:color w:val="auto"/>
          <w:sz w:val="22"/>
        </w:rPr>
      </w:pPr>
    </w:p>
    <w:p w14:paraId="101E6EC1" w14:textId="64870735" w:rsidR="000F7012" w:rsidRPr="0073073B" w:rsidRDefault="000F7012" w:rsidP="000F7012">
      <w:pPr>
        <w:jc w:val="center"/>
        <w:rPr>
          <w:b/>
          <w:sz w:val="28"/>
          <w:szCs w:val="28"/>
        </w:rPr>
      </w:pPr>
      <w:r w:rsidRPr="0073073B">
        <w:rPr>
          <w:b/>
          <w:sz w:val="28"/>
          <w:szCs w:val="28"/>
        </w:rPr>
        <w:t>TABLE OF CONTENTS</w:t>
      </w:r>
    </w:p>
    <w:p w14:paraId="7FFCB236" w14:textId="77777777" w:rsidR="0073073B" w:rsidRDefault="0073073B" w:rsidP="000F7012">
      <w:pPr>
        <w:jc w:val="center"/>
      </w:pPr>
    </w:p>
    <w:p w14:paraId="5969428C" w14:textId="3B6A5DB1" w:rsidR="008E764A" w:rsidRDefault="00C54E2D" w:rsidP="008E764A">
      <w:pPr>
        <w:pStyle w:val="TOC2"/>
        <w:rPr>
          <w:rFonts w:asciiTheme="minorHAnsi" w:eastAsiaTheme="minorEastAsia" w:hAnsiTheme="minorHAnsi"/>
          <w:bCs w:val="0"/>
          <w:color w:val="auto"/>
          <w:sz w:val="22"/>
        </w:rPr>
      </w:pPr>
      <w:r>
        <w:rPr>
          <w:b/>
          <w:bCs w:val="0"/>
        </w:rPr>
        <w:fldChar w:fldCharType="begin"/>
      </w:r>
      <w:r>
        <w:rPr>
          <w:bCs w:val="0"/>
        </w:rPr>
        <w:instrText xml:space="preserve"> TOC \o "1-2" \h \z \u </w:instrText>
      </w:r>
      <w:r>
        <w:rPr>
          <w:b/>
          <w:bCs w:val="0"/>
        </w:rPr>
        <w:fldChar w:fldCharType="separate"/>
      </w:r>
    </w:p>
    <w:p w14:paraId="362ACEC6" w14:textId="77777777" w:rsidR="008E764A" w:rsidRDefault="00E56281">
      <w:pPr>
        <w:pStyle w:val="TOC1"/>
        <w:tabs>
          <w:tab w:val="right" w:leader="dot" w:pos="8630"/>
        </w:tabs>
        <w:rPr>
          <w:rFonts w:asciiTheme="minorHAnsi" w:eastAsiaTheme="minorEastAsia" w:hAnsiTheme="minorHAnsi"/>
          <w:b w:val="0"/>
          <w:bCs w:val="0"/>
          <w:noProof/>
          <w:sz w:val="22"/>
          <w:szCs w:val="22"/>
        </w:rPr>
      </w:pPr>
      <w:hyperlink w:anchor="_Toc34645332" w:history="1">
        <w:r w:rsidR="008E764A" w:rsidRPr="004D3D55">
          <w:rPr>
            <w:rStyle w:val="Hyperlink"/>
            <w:noProof/>
          </w:rPr>
          <w:t>1.0 ACADEMIC SENATE</w:t>
        </w:r>
        <w:r w:rsidR="008E764A">
          <w:rPr>
            <w:noProof/>
            <w:webHidden/>
          </w:rPr>
          <w:tab/>
        </w:r>
        <w:r w:rsidR="008E764A">
          <w:rPr>
            <w:noProof/>
            <w:webHidden/>
          </w:rPr>
          <w:fldChar w:fldCharType="begin"/>
        </w:r>
        <w:r w:rsidR="008E764A">
          <w:rPr>
            <w:noProof/>
            <w:webHidden/>
          </w:rPr>
          <w:instrText xml:space="preserve"> PAGEREF _Toc34645332 \h </w:instrText>
        </w:r>
        <w:r w:rsidR="008E764A">
          <w:rPr>
            <w:noProof/>
            <w:webHidden/>
          </w:rPr>
        </w:r>
        <w:r w:rsidR="008E764A">
          <w:rPr>
            <w:noProof/>
            <w:webHidden/>
          </w:rPr>
          <w:fldChar w:fldCharType="separate"/>
        </w:r>
        <w:r w:rsidR="008E764A">
          <w:rPr>
            <w:noProof/>
            <w:webHidden/>
          </w:rPr>
          <w:t>1</w:t>
        </w:r>
        <w:r w:rsidR="008E764A">
          <w:rPr>
            <w:noProof/>
            <w:webHidden/>
          </w:rPr>
          <w:fldChar w:fldCharType="end"/>
        </w:r>
      </w:hyperlink>
    </w:p>
    <w:p w14:paraId="234B5A92" w14:textId="77777777" w:rsidR="008E764A" w:rsidRDefault="00E56281">
      <w:pPr>
        <w:pStyle w:val="TOC2"/>
        <w:rPr>
          <w:rFonts w:asciiTheme="minorHAnsi" w:eastAsiaTheme="minorEastAsia" w:hAnsiTheme="minorHAnsi"/>
          <w:bCs w:val="0"/>
          <w:color w:val="auto"/>
          <w:sz w:val="22"/>
        </w:rPr>
      </w:pPr>
      <w:hyperlink w:anchor="_Toc34645333" w:history="1">
        <w:r w:rsidR="008E764A" w:rsidRPr="004D3D55">
          <w:rPr>
            <w:rStyle w:val="Hyperlink"/>
          </w:rPr>
          <w:t>*1.01</w:t>
        </w:r>
        <w:r w:rsidR="008E764A">
          <w:rPr>
            <w:rFonts w:asciiTheme="minorHAnsi" w:eastAsiaTheme="minorEastAsia" w:hAnsiTheme="minorHAnsi"/>
            <w:bCs w:val="0"/>
            <w:color w:val="auto"/>
            <w:sz w:val="22"/>
          </w:rPr>
          <w:tab/>
        </w:r>
        <w:r w:rsidR="008E764A" w:rsidRPr="004D3D55">
          <w:rPr>
            <w:rStyle w:val="Hyperlink"/>
          </w:rPr>
          <w:t>S20 Adopt Updated ASCCC Vision, Mission, and Values Statements</w:t>
        </w:r>
        <w:r w:rsidR="008E764A">
          <w:rPr>
            <w:webHidden/>
          </w:rPr>
          <w:tab/>
        </w:r>
        <w:r w:rsidR="008E764A">
          <w:rPr>
            <w:webHidden/>
          </w:rPr>
          <w:fldChar w:fldCharType="begin"/>
        </w:r>
        <w:r w:rsidR="008E764A">
          <w:rPr>
            <w:webHidden/>
          </w:rPr>
          <w:instrText xml:space="preserve"> PAGEREF _Toc34645333 \h </w:instrText>
        </w:r>
        <w:r w:rsidR="008E764A">
          <w:rPr>
            <w:webHidden/>
          </w:rPr>
        </w:r>
        <w:r w:rsidR="008E764A">
          <w:rPr>
            <w:webHidden/>
          </w:rPr>
          <w:fldChar w:fldCharType="separate"/>
        </w:r>
        <w:r w:rsidR="008E764A">
          <w:rPr>
            <w:webHidden/>
          </w:rPr>
          <w:t>1</w:t>
        </w:r>
        <w:r w:rsidR="008E764A">
          <w:rPr>
            <w:webHidden/>
          </w:rPr>
          <w:fldChar w:fldCharType="end"/>
        </w:r>
      </w:hyperlink>
    </w:p>
    <w:p w14:paraId="1CDE684F" w14:textId="77777777" w:rsidR="008E764A" w:rsidRDefault="00E56281">
      <w:pPr>
        <w:pStyle w:val="TOC1"/>
        <w:tabs>
          <w:tab w:val="right" w:leader="dot" w:pos="8630"/>
        </w:tabs>
        <w:rPr>
          <w:rFonts w:asciiTheme="minorHAnsi" w:eastAsiaTheme="minorEastAsia" w:hAnsiTheme="minorHAnsi"/>
          <w:b w:val="0"/>
          <w:bCs w:val="0"/>
          <w:noProof/>
          <w:sz w:val="22"/>
          <w:szCs w:val="22"/>
        </w:rPr>
      </w:pPr>
      <w:hyperlink w:anchor="_Toc34645334" w:history="1">
        <w:r w:rsidR="008E764A" w:rsidRPr="004D3D55">
          <w:rPr>
            <w:rStyle w:val="Hyperlink"/>
            <w:noProof/>
          </w:rPr>
          <w:t>3.0 DIVERSITY AND EQUITY</w:t>
        </w:r>
        <w:r w:rsidR="008E764A">
          <w:rPr>
            <w:noProof/>
            <w:webHidden/>
          </w:rPr>
          <w:tab/>
        </w:r>
        <w:r w:rsidR="008E764A">
          <w:rPr>
            <w:noProof/>
            <w:webHidden/>
          </w:rPr>
          <w:fldChar w:fldCharType="begin"/>
        </w:r>
        <w:r w:rsidR="008E764A">
          <w:rPr>
            <w:noProof/>
            <w:webHidden/>
          </w:rPr>
          <w:instrText xml:space="preserve"> PAGEREF _Toc34645334 \h </w:instrText>
        </w:r>
        <w:r w:rsidR="008E764A">
          <w:rPr>
            <w:noProof/>
            <w:webHidden/>
          </w:rPr>
        </w:r>
        <w:r w:rsidR="008E764A">
          <w:rPr>
            <w:noProof/>
            <w:webHidden/>
          </w:rPr>
          <w:fldChar w:fldCharType="separate"/>
        </w:r>
        <w:r w:rsidR="008E764A">
          <w:rPr>
            <w:noProof/>
            <w:webHidden/>
          </w:rPr>
          <w:t>1</w:t>
        </w:r>
        <w:r w:rsidR="008E764A">
          <w:rPr>
            <w:noProof/>
            <w:webHidden/>
          </w:rPr>
          <w:fldChar w:fldCharType="end"/>
        </w:r>
      </w:hyperlink>
    </w:p>
    <w:p w14:paraId="1B546D4D" w14:textId="77777777" w:rsidR="008E764A" w:rsidRDefault="00E56281">
      <w:pPr>
        <w:pStyle w:val="TOC2"/>
        <w:rPr>
          <w:rFonts w:asciiTheme="minorHAnsi" w:eastAsiaTheme="minorEastAsia" w:hAnsiTheme="minorHAnsi"/>
          <w:bCs w:val="0"/>
          <w:color w:val="auto"/>
          <w:sz w:val="22"/>
        </w:rPr>
      </w:pPr>
      <w:hyperlink w:anchor="_Toc34645335" w:history="1">
        <w:r w:rsidR="008E764A" w:rsidRPr="004D3D55">
          <w:rPr>
            <w:rStyle w:val="Hyperlink"/>
          </w:rPr>
          <w:t>*3.01</w:t>
        </w:r>
        <w:r w:rsidR="008E764A">
          <w:rPr>
            <w:rFonts w:asciiTheme="minorHAnsi" w:eastAsiaTheme="minorEastAsia" w:hAnsiTheme="minorHAnsi"/>
            <w:bCs w:val="0"/>
            <w:color w:val="auto"/>
            <w:sz w:val="22"/>
          </w:rPr>
          <w:tab/>
        </w:r>
        <w:r w:rsidR="008E764A" w:rsidRPr="004D3D55">
          <w:rPr>
            <w:rStyle w:val="Hyperlink"/>
          </w:rPr>
          <w:t xml:space="preserve">S20 Support </w:t>
        </w:r>
        <w:r w:rsidR="008E764A" w:rsidRPr="004D3D55">
          <w:rPr>
            <w:rStyle w:val="Hyperlink"/>
            <w:i/>
          </w:rPr>
          <w:t>The Anti-Racism Pledge</w:t>
        </w:r>
        <w:r w:rsidR="008E764A">
          <w:rPr>
            <w:webHidden/>
          </w:rPr>
          <w:tab/>
        </w:r>
        <w:r w:rsidR="008E764A">
          <w:rPr>
            <w:webHidden/>
          </w:rPr>
          <w:fldChar w:fldCharType="begin"/>
        </w:r>
        <w:r w:rsidR="008E764A">
          <w:rPr>
            <w:webHidden/>
          </w:rPr>
          <w:instrText xml:space="preserve"> PAGEREF _Toc34645335 \h </w:instrText>
        </w:r>
        <w:r w:rsidR="008E764A">
          <w:rPr>
            <w:webHidden/>
          </w:rPr>
        </w:r>
        <w:r w:rsidR="008E764A">
          <w:rPr>
            <w:webHidden/>
          </w:rPr>
          <w:fldChar w:fldCharType="separate"/>
        </w:r>
        <w:r w:rsidR="008E764A">
          <w:rPr>
            <w:webHidden/>
          </w:rPr>
          <w:t>1</w:t>
        </w:r>
        <w:r w:rsidR="008E764A">
          <w:rPr>
            <w:webHidden/>
          </w:rPr>
          <w:fldChar w:fldCharType="end"/>
        </w:r>
      </w:hyperlink>
    </w:p>
    <w:p w14:paraId="10F1EB35" w14:textId="7A99107C" w:rsidR="008E764A" w:rsidRDefault="00E56281">
      <w:pPr>
        <w:pStyle w:val="TOC2"/>
        <w:rPr>
          <w:rFonts w:asciiTheme="minorHAnsi" w:eastAsiaTheme="minorEastAsia" w:hAnsiTheme="minorHAnsi"/>
          <w:bCs w:val="0"/>
          <w:color w:val="auto"/>
          <w:sz w:val="22"/>
        </w:rPr>
      </w:pPr>
      <w:hyperlink w:anchor="_Toc34645336" w:history="1">
        <w:r w:rsidR="008E764A" w:rsidRPr="004D3D55">
          <w:rPr>
            <w:rStyle w:val="Hyperlink"/>
          </w:rPr>
          <w:t>*3.02</w:t>
        </w:r>
        <w:r w:rsidR="008E764A">
          <w:rPr>
            <w:rFonts w:asciiTheme="minorHAnsi" w:eastAsiaTheme="minorEastAsia" w:hAnsiTheme="minorHAnsi"/>
            <w:bCs w:val="0"/>
            <w:color w:val="auto"/>
            <w:sz w:val="22"/>
          </w:rPr>
          <w:tab/>
        </w:r>
        <w:r w:rsidR="008E764A" w:rsidRPr="004D3D55">
          <w:rPr>
            <w:rStyle w:val="Hyperlink"/>
          </w:rPr>
          <w:t xml:space="preserve">S20 </w:t>
        </w:r>
        <w:r w:rsidR="008E764A" w:rsidRPr="004D3D55">
          <w:rPr>
            <w:rStyle w:val="Hyperlink"/>
            <w:i/>
          </w:rPr>
          <w:t>Anti-Racism in California Community Colleges—An Academic Senate Paper</w:t>
        </w:r>
        <w:r w:rsidR="008E764A">
          <w:rPr>
            <w:rStyle w:val="Hyperlink"/>
            <w:i/>
          </w:rPr>
          <w:t xml:space="preserve">       </w:t>
        </w:r>
        <w:r w:rsidR="008E764A">
          <w:rPr>
            <w:webHidden/>
          </w:rPr>
          <w:tab/>
        </w:r>
        <w:r w:rsidR="008E764A">
          <w:rPr>
            <w:webHidden/>
          </w:rPr>
          <w:fldChar w:fldCharType="begin"/>
        </w:r>
        <w:r w:rsidR="008E764A">
          <w:rPr>
            <w:webHidden/>
          </w:rPr>
          <w:instrText xml:space="preserve"> PAGEREF _Toc34645336 \h </w:instrText>
        </w:r>
        <w:r w:rsidR="008E764A">
          <w:rPr>
            <w:webHidden/>
          </w:rPr>
        </w:r>
        <w:r w:rsidR="008E764A">
          <w:rPr>
            <w:webHidden/>
          </w:rPr>
          <w:fldChar w:fldCharType="separate"/>
        </w:r>
        <w:r w:rsidR="008E764A">
          <w:rPr>
            <w:webHidden/>
          </w:rPr>
          <w:t>2</w:t>
        </w:r>
        <w:r w:rsidR="008E764A">
          <w:rPr>
            <w:webHidden/>
          </w:rPr>
          <w:fldChar w:fldCharType="end"/>
        </w:r>
      </w:hyperlink>
    </w:p>
    <w:p w14:paraId="2BD907A1" w14:textId="77777777" w:rsidR="008E764A" w:rsidRDefault="00E56281">
      <w:pPr>
        <w:pStyle w:val="TOC2"/>
        <w:rPr>
          <w:rFonts w:asciiTheme="minorHAnsi" w:eastAsiaTheme="minorEastAsia" w:hAnsiTheme="minorHAnsi"/>
          <w:bCs w:val="0"/>
          <w:color w:val="auto"/>
          <w:sz w:val="22"/>
        </w:rPr>
      </w:pPr>
      <w:hyperlink w:anchor="_Toc34645337" w:history="1">
        <w:r w:rsidR="008E764A" w:rsidRPr="004D3D55">
          <w:rPr>
            <w:rStyle w:val="Hyperlink"/>
          </w:rPr>
          <w:t>*3.03</w:t>
        </w:r>
        <w:r w:rsidR="008E764A">
          <w:rPr>
            <w:rFonts w:asciiTheme="minorHAnsi" w:eastAsiaTheme="minorEastAsia" w:hAnsiTheme="minorHAnsi"/>
            <w:bCs w:val="0"/>
            <w:color w:val="auto"/>
            <w:sz w:val="22"/>
          </w:rPr>
          <w:tab/>
        </w:r>
        <w:r w:rsidR="008E764A" w:rsidRPr="004D3D55">
          <w:rPr>
            <w:rStyle w:val="Hyperlink"/>
          </w:rPr>
          <w:t>S20 Recommendation to Update Title 5 Language for Minimum Qualifications</w:t>
        </w:r>
        <w:r w:rsidR="008E764A">
          <w:rPr>
            <w:webHidden/>
          </w:rPr>
          <w:tab/>
        </w:r>
        <w:r w:rsidR="008E764A">
          <w:rPr>
            <w:webHidden/>
          </w:rPr>
          <w:fldChar w:fldCharType="begin"/>
        </w:r>
        <w:r w:rsidR="008E764A">
          <w:rPr>
            <w:webHidden/>
          </w:rPr>
          <w:instrText xml:space="preserve"> PAGEREF _Toc34645337 \h </w:instrText>
        </w:r>
        <w:r w:rsidR="008E764A">
          <w:rPr>
            <w:webHidden/>
          </w:rPr>
        </w:r>
        <w:r w:rsidR="008E764A">
          <w:rPr>
            <w:webHidden/>
          </w:rPr>
          <w:fldChar w:fldCharType="separate"/>
        </w:r>
        <w:r w:rsidR="008E764A">
          <w:rPr>
            <w:webHidden/>
          </w:rPr>
          <w:t>2</w:t>
        </w:r>
        <w:r w:rsidR="008E764A">
          <w:rPr>
            <w:webHidden/>
          </w:rPr>
          <w:fldChar w:fldCharType="end"/>
        </w:r>
      </w:hyperlink>
    </w:p>
    <w:p w14:paraId="400667E1" w14:textId="77777777" w:rsidR="008E764A" w:rsidRDefault="00E56281">
      <w:pPr>
        <w:pStyle w:val="TOC1"/>
        <w:tabs>
          <w:tab w:val="right" w:leader="dot" w:pos="8630"/>
        </w:tabs>
        <w:rPr>
          <w:rFonts w:asciiTheme="minorHAnsi" w:eastAsiaTheme="minorEastAsia" w:hAnsiTheme="minorHAnsi"/>
          <w:b w:val="0"/>
          <w:bCs w:val="0"/>
          <w:noProof/>
          <w:sz w:val="22"/>
          <w:szCs w:val="22"/>
        </w:rPr>
      </w:pPr>
      <w:hyperlink w:anchor="_Toc34645338" w:history="1">
        <w:r w:rsidR="008E764A" w:rsidRPr="004D3D55">
          <w:rPr>
            <w:rStyle w:val="Hyperlink"/>
            <w:noProof/>
          </w:rPr>
          <w:t>9.0 CURRICULUM</w:t>
        </w:r>
        <w:r w:rsidR="008E764A">
          <w:rPr>
            <w:noProof/>
            <w:webHidden/>
          </w:rPr>
          <w:tab/>
        </w:r>
        <w:r w:rsidR="008E764A">
          <w:rPr>
            <w:noProof/>
            <w:webHidden/>
          </w:rPr>
          <w:fldChar w:fldCharType="begin"/>
        </w:r>
        <w:r w:rsidR="008E764A">
          <w:rPr>
            <w:noProof/>
            <w:webHidden/>
          </w:rPr>
          <w:instrText xml:space="preserve"> PAGEREF _Toc34645338 \h </w:instrText>
        </w:r>
        <w:r w:rsidR="008E764A">
          <w:rPr>
            <w:noProof/>
            <w:webHidden/>
          </w:rPr>
        </w:r>
        <w:r w:rsidR="008E764A">
          <w:rPr>
            <w:noProof/>
            <w:webHidden/>
          </w:rPr>
          <w:fldChar w:fldCharType="separate"/>
        </w:r>
        <w:r w:rsidR="008E764A">
          <w:rPr>
            <w:noProof/>
            <w:webHidden/>
          </w:rPr>
          <w:t>3</w:t>
        </w:r>
        <w:r w:rsidR="008E764A">
          <w:rPr>
            <w:noProof/>
            <w:webHidden/>
          </w:rPr>
          <w:fldChar w:fldCharType="end"/>
        </w:r>
      </w:hyperlink>
    </w:p>
    <w:p w14:paraId="50CC0C03" w14:textId="77777777" w:rsidR="008E764A" w:rsidRDefault="00E56281">
      <w:pPr>
        <w:pStyle w:val="TOC2"/>
        <w:rPr>
          <w:rFonts w:asciiTheme="minorHAnsi" w:eastAsiaTheme="minorEastAsia" w:hAnsiTheme="minorHAnsi"/>
          <w:bCs w:val="0"/>
          <w:color w:val="auto"/>
          <w:sz w:val="22"/>
        </w:rPr>
      </w:pPr>
      <w:hyperlink w:anchor="_Toc34645339" w:history="1">
        <w:r w:rsidR="008E764A" w:rsidRPr="004D3D55">
          <w:rPr>
            <w:rStyle w:val="Hyperlink"/>
          </w:rPr>
          <w:t>*9.01</w:t>
        </w:r>
        <w:r w:rsidR="008E764A">
          <w:rPr>
            <w:rFonts w:asciiTheme="minorHAnsi" w:eastAsiaTheme="minorEastAsia" w:hAnsiTheme="minorHAnsi"/>
            <w:bCs w:val="0"/>
            <w:color w:val="auto"/>
            <w:sz w:val="22"/>
          </w:rPr>
          <w:tab/>
        </w:r>
        <w:r w:rsidR="008E764A" w:rsidRPr="004D3D55">
          <w:rPr>
            <w:rStyle w:val="Hyperlink"/>
          </w:rPr>
          <w:t>S20 Recommendations for the Implementation of a No-Cost Designation in Course Schedules</w:t>
        </w:r>
        <w:r w:rsidR="008E764A">
          <w:rPr>
            <w:webHidden/>
          </w:rPr>
          <w:tab/>
        </w:r>
        <w:r w:rsidR="008E764A">
          <w:rPr>
            <w:webHidden/>
          </w:rPr>
          <w:fldChar w:fldCharType="begin"/>
        </w:r>
        <w:r w:rsidR="008E764A">
          <w:rPr>
            <w:webHidden/>
          </w:rPr>
          <w:instrText xml:space="preserve"> PAGEREF _Toc34645339 \h </w:instrText>
        </w:r>
        <w:r w:rsidR="008E764A">
          <w:rPr>
            <w:webHidden/>
          </w:rPr>
        </w:r>
        <w:r w:rsidR="008E764A">
          <w:rPr>
            <w:webHidden/>
          </w:rPr>
          <w:fldChar w:fldCharType="separate"/>
        </w:r>
        <w:r w:rsidR="008E764A">
          <w:rPr>
            <w:webHidden/>
          </w:rPr>
          <w:t>3</w:t>
        </w:r>
        <w:r w:rsidR="008E764A">
          <w:rPr>
            <w:webHidden/>
          </w:rPr>
          <w:fldChar w:fldCharType="end"/>
        </w:r>
      </w:hyperlink>
    </w:p>
    <w:p w14:paraId="3EF5B0CC" w14:textId="77777777" w:rsidR="008E764A" w:rsidRDefault="00E56281">
      <w:pPr>
        <w:pStyle w:val="TOC1"/>
        <w:tabs>
          <w:tab w:val="right" w:leader="dot" w:pos="8630"/>
        </w:tabs>
        <w:rPr>
          <w:rFonts w:asciiTheme="minorHAnsi" w:eastAsiaTheme="minorEastAsia" w:hAnsiTheme="minorHAnsi"/>
          <w:b w:val="0"/>
          <w:bCs w:val="0"/>
          <w:noProof/>
          <w:sz w:val="22"/>
          <w:szCs w:val="22"/>
        </w:rPr>
      </w:pPr>
      <w:hyperlink w:anchor="_Toc34645340" w:history="1">
        <w:r w:rsidR="008E764A" w:rsidRPr="004D3D55">
          <w:rPr>
            <w:rStyle w:val="Hyperlink"/>
            <w:noProof/>
          </w:rPr>
          <w:t>10.0 DISCIPLINES LIST</w:t>
        </w:r>
        <w:r w:rsidR="008E764A">
          <w:rPr>
            <w:noProof/>
            <w:webHidden/>
          </w:rPr>
          <w:tab/>
        </w:r>
        <w:r w:rsidR="008E764A">
          <w:rPr>
            <w:noProof/>
            <w:webHidden/>
          </w:rPr>
          <w:fldChar w:fldCharType="begin"/>
        </w:r>
        <w:r w:rsidR="008E764A">
          <w:rPr>
            <w:noProof/>
            <w:webHidden/>
          </w:rPr>
          <w:instrText xml:space="preserve"> PAGEREF _Toc34645340 \h </w:instrText>
        </w:r>
        <w:r w:rsidR="008E764A">
          <w:rPr>
            <w:noProof/>
            <w:webHidden/>
          </w:rPr>
        </w:r>
        <w:r w:rsidR="008E764A">
          <w:rPr>
            <w:noProof/>
            <w:webHidden/>
          </w:rPr>
          <w:fldChar w:fldCharType="separate"/>
        </w:r>
        <w:r w:rsidR="008E764A">
          <w:rPr>
            <w:noProof/>
            <w:webHidden/>
          </w:rPr>
          <w:t>4</w:t>
        </w:r>
        <w:r w:rsidR="008E764A">
          <w:rPr>
            <w:noProof/>
            <w:webHidden/>
          </w:rPr>
          <w:fldChar w:fldCharType="end"/>
        </w:r>
      </w:hyperlink>
    </w:p>
    <w:p w14:paraId="728C568D" w14:textId="77777777" w:rsidR="008E764A" w:rsidRDefault="00E56281">
      <w:pPr>
        <w:pStyle w:val="TOC2"/>
        <w:rPr>
          <w:rFonts w:asciiTheme="minorHAnsi" w:eastAsiaTheme="minorEastAsia" w:hAnsiTheme="minorHAnsi"/>
          <w:bCs w:val="0"/>
          <w:color w:val="auto"/>
          <w:sz w:val="22"/>
        </w:rPr>
      </w:pPr>
      <w:hyperlink w:anchor="_Toc34645341" w:history="1">
        <w:r w:rsidR="008E764A" w:rsidRPr="004D3D55">
          <w:rPr>
            <w:rStyle w:val="Hyperlink"/>
          </w:rPr>
          <w:t>*10.01</w:t>
        </w:r>
        <w:r w:rsidR="008E764A">
          <w:rPr>
            <w:rFonts w:asciiTheme="minorHAnsi" w:eastAsiaTheme="minorEastAsia" w:hAnsiTheme="minorHAnsi"/>
            <w:bCs w:val="0"/>
            <w:color w:val="auto"/>
            <w:sz w:val="22"/>
          </w:rPr>
          <w:tab/>
        </w:r>
        <w:r w:rsidR="008E764A" w:rsidRPr="004D3D55">
          <w:rPr>
            <w:rStyle w:val="Hyperlink"/>
          </w:rPr>
          <w:t xml:space="preserve">S20 </w:t>
        </w:r>
        <w:r w:rsidR="008E764A" w:rsidRPr="008E764A">
          <w:rPr>
            <w:rStyle w:val="Hyperlink"/>
            <w:i/>
          </w:rPr>
          <w:t>Disciplines List</w:t>
        </w:r>
        <w:r w:rsidR="008E764A" w:rsidRPr="004D3D55">
          <w:rPr>
            <w:rStyle w:val="Hyperlink"/>
          </w:rPr>
          <w:t>—Registered Behavior Technician</w:t>
        </w:r>
        <w:r w:rsidR="008E764A">
          <w:rPr>
            <w:webHidden/>
          </w:rPr>
          <w:tab/>
        </w:r>
        <w:r w:rsidR="008E764A">
          <w:rPr>
            <w:webHidden/>
          </w:rPr>
          <w:fldChar w:fldCharType="begin"/>
        </w:r>
        <w:r w:rsidR="008E764A">
          <w:rPr>
            <w:webHidden/>
          </w:rPr>
          <w:instrText xml:space="preserve"> PAGEREF _Toc34645341 \h </w:instrText>
        </w:r>
        <w:r w:rsidR="008E764A">
          <w:rPr>
            <w:webHidden/>
          </w:rPr>
        </w:r>
        <w:r w:rsidR="008E764A">
          <w:rPr>
            <w:webHidden/>
          </w:rPr>
          <w:fldChar w:fldCharType="separate"/>
        </w:r>
        <w:r w:rsidR="008E764A">
          <w:rPr>
            <w:webHidden/>
          </w:rPr>
          <w:t>4</w:t>
        </w:r>
        <w:r w:rsidR="008E764A">
          <w:rPr>
            <w:webHidden/>
          </w:rPr>
          <w:fldChar w:fldCharType="end"/>
        </w:r>
      </w:hyperlink>
    </w:p>
    <w:p w14:paraId="0CE15444" w14:textId="77777777" w:rsidR="008E764A" w:rsidRDefault="00E56281">
      <w:pPr>
        <w:pStyle w:val="TOC2"/>
        <w:rPr>
          <w:rFonts w:asciiTheme="minorHAnsi" w:eastAsiaTheme="minorEastAsia" w:hAnsiTheme="minorHAnsi"/>
          <w:bCs w:val="0"/>
          <w:color w:val="auto"/>
          <w:sz w:val="22"/>
        </w:rPr>
      </w:pPr>
      <w:hyperlink w:anchor="_Toc34645342" w:history="1">
        <w:r w:rsidR="008E764A" w:rsidRPr="004D3D55">
          <w:rPr>
            <w:rStyle w:val="Hyperlink"/>
          </w:rPr>
          <w:t>*10.02</w:t>
        </w:r>
        <w:r w:rsidR="008E764A">
          <w:rPr>
            <w:rFonts w:asciiTheme="minorHAnsi" w:eastAsiaTheme="minorEastAsia" w:hAnsiTheme="minorHAnsi"/>
            <w:bCs w:val="0"/>
            <w:color w:val="auto"/>
            <w:sz w:val="22"/>
          </w:rPr>
          <w:tab/>
        </w:r>
        <w:r w:rsidR="008E764A" w:rsidRPr="004D3D55">
          <w:rPr>
            <w:rStyle w:val="Hyperlink"/>
          </w:rPr>
          <w:t xml:space="preserve">S20 Update the Paper </w:t>
        </w:r>
        <w:r w:rsidR="008E764A" w:rsidRPr="008E764A">
          <w:rPr>
            <w:rStyle w:val="Hyperlink"/>
            <w:i/>
          </w:rPr>
          <w:t>Equivalence to the Minimum Qualifications</w:t>
        </w:r>
        <w:r w:rsidR="008E764A">
          <w:rPr>
            <w:webHidden/>
          </w:rPr>
          <w:tab/>
        </w:r>
        <w:r w:rsidR="008E764A">
          <w:rPr>
            <w:webHidden/>
          </w:rPr>
          <w:fldChar w:fldCharType="begin"/>
        </w:r>
        <w:r w:rsidR="008E764A">
          <w:rPr>
            <w:webHidden/>
          </w:rPr>
          <w:instrText xml:space="preserve"> PAGEREF _Toc34645342 \h </w:instrText>
        </w:r>
        <w:r w:rsidR="008E764A">
          <w:rPr>
            <w:webHidden/>
          </w:rPr>
        </w:r>
        <w:r w:rsidR="008E764A">
          <w:rPr>
            <w:webHidden/>
          </w:rPr>
          <w:fldChar w:fldCharType="separate"/>
        </w:r>
        <w:r w:rsidR="008E764A">
          <w:rPr>
            <w:webHidden/>
          </w:rPr>
          <w:t>5</w:t>
        </w:r>
        <w:r w:rsidR="008E764A">
          <w:rPr>
            <w:webHidden/>
          </w:rPr>
          <w:fldChar w:fldCharType="end"/>
        </w:r>
      </w:hyperlink>
    </w:p>
    <w:p w14:paraId="4D8C6F69" w14:textId="11673F04" w:rsidR="0084743B" w:rsidRDefault="00C54E2D">
      <w:pPr>
        <w:rPr>
          <w:bCs/>
          <w:szCs w:val="22"/>
        </w:rPr>
      </w:pPr>
      <w:r>
        <w:rPr>
          <w:bCs/>
          <w:szCs w:val="22"/>
        </w:rPr>
        <w:fldChar w:fldCharType="end"/>
      </w:r>
    </w:p>
    <w:p w14:paraId="123A32BE" w14:textId="2489F67D" w:rsidR="00811182" w:rsidRPr="005A4137" w:rsidRDefault="00702C47" w:rsidP="005A4137">
      <w:pPr>
        <w:pStyle w:val="TOC2"/>
        <w:rPr>
          <w:rFonts w:eastAsiaTheme="majorEastAsia" w:cs="Times New Roman"/>
        </w:rPr>
        <w:sectPr w:rsidR="00811182" w:rsidRPr="005A4137" w:rsidSect="00811182">
          <w:headerReference w:type="even" r:id="rId11"/>
          <w:headerReference w:type="default" r:id="rId12"/>
          <w:footerReference w:type="default" r:id="rId13"/>
          <w:headerReference w:type="first" r:id="rId14"/>
          <w:pgSz w:w="12240" w:h="15840"/>
          <w:pgMar w:top="1440" w:right="1800" w:bottom="1440" w:left="1800" w:header="720" w:footer="720" w:gutter="0"/>
          <w:pgNumType w:fmt="lowerRoman" w:start="1"/>
          <w:cols w:space="720"/>
          <w:docGrid w:linePitch="360"/>
        </w:sectPr>
      </w:pPr>
      <w:bookmarkStart w:id="7" w:name="_Toc494118127"/>
      <w:bookmarkStart w:id="8" w:name="_Toc494118182"/>
      <w:bookmarkStart w:id="9" w:name="_Toc494121950"/>
      <w:bookmarkStart w:id="10" w:name="_Toc493230537"/>
      <w:bookmarkStart w:id="11" w:name="_Toc493230647"/>
      <w:r>
        <w:br w:type="page"/>
      </w:r>
      <w:bookmarkStart w:id="12" w:name="_Toc494292594"/>
      <w:bookmarkStart w:id="13" w:name="_Toc494293708"/>
      <w:bookmarkStart w:id="14" w:name="_Toc494356231"/>
      <w:bookmarkStart w:id="15" w:name="_Toc494356789"/>
      <w:bookmarkStart w:id="16" w:name="_Toc494643103"/>
      <w:bookmarkStart w:id="17" w:name="_Toc494644346"/>
      <w:bookmarkStart w:id="18" w:name="_Toc494644622"/>
      <w:bookmarkStart w:id="19" w:name="_Toc494644747"/>
      <w:bookmarkStart w:id="20" w:name="_Toc494649689"/>
    </w:p>
    <w:p w14:paraId="3A32ACAA" w14:textId="5E2AA1DF" w:rsidR="005A4137" w:rsidRDefault="005A4137" w:rsidP="005A4137">
      <w:pPr>
        <w:pStyle w:val="Heading1SectionTitle"/>
      </w:pPr>
      <w:bookmarkStart w:id="21" w:name="_7nzaklohtptg" w:colFirst="0" w:colLast="0"/>
      <w:bookmarkStart w:id="22" w:name="_Toc3464533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lastRenderedPageBreak/>
        <w:t>1.0</w:t>
      </w:r>
      <w:r w:rsidR="005C332D">
        <w:rPr>
          <w:sz w:val="14"/>
          <w:szCs w:val="14"/>
        </w:rPr>
        <w:t xml:space="preserve"> </w:t>
      </w:r>
      <w:r>
        <w:t>ACADEMIC SENATE</w:t>
      </w:r>
      <w:bookmarkEnd w:id="22"/>
    </w:p>
    <w:p w14:paraId="0A8B1ED6" w14:textId="76A084F2" w:rsidR="00576043" w:rsidRDefault="005A4137" w:rsidP="00576043">
      <w:r>
        <w:t xml:space="preserve"> </w:t>
      </w:r>
      <w:bookmarkStart w:id="23" w:name="_qtl0h3pgkyx6" w:colFirst="0" w:colLast="0"/>
      <w:bookmarkEnd w:id="23"/>
    </w:p>
    <w:p w14:paraId="150555D4" w14:textId="3B307E83" w:rsidR="00576043" w:rsidRDefault="006616DB" w:rsidP="00576043">
      <w:pPr>
        <w:pStyle w:val="Heading2ResolutionTitle"/>
      </w:pPr>
      <w:bookmarkStart w:id="24" w:name="_Toc34645333"/>
      <w:r>
        <w:t>*</w:t>
      </w:r>
      <w:r w:rsidR="00576043" w:rsidRPr="00EF0E57">
        <w:t>1</w:t>
      </w:r>
      <w:r w:rsidR="00576043" w:rsidRPr="00576043">
        <w:rPr>
          <w:b w:val="0"/>
        </w:rPr>
        <w:t>.</w:t>
      </w:r>
      <w:r w:rsidR="00EF0E57">
        <w:t>01</w:t>
      </w:r>
      <w:r w:rsidR="00EF0E57">
        <w:tab/>
        <w:t xml:space="preserve">S20 </w:t>
      </w:r>
      <w:r w:rsidR="00576043">
        <w:t>Adopt Updated ASCCC Vision, Mission, and Values Statements</w:t>
      </w:r>
      <w:bookmarkEnd w:id="24"/>
    </w:p>
    <w:p w14:paraId="7C5967A3" w14:textId="6E23B4EE" w:rsidR="00576043" w:rsidRPr="00576043" w:rsidRDefault="00576043" w:rsidP="00576043">
      <w:pPr>
        <w:rPr>
          <w:rFonts w:eastAsiaTheme="majorEastAsia"/>
        </w:rPr>
      </w:pPr>
      <w:r>
        <w:t xml:space="preserve">Whereas, </w:t>
      </w:r>
      <w:r w:rsidR="00026F62">
        <w:t>The Academic Senate for California Community Colleges</w:t>
      </w:r>
      <w:r w:rsidRPr="00576043">
        <w:t xml:space="preserve"> does not have a vision stat</w:t>
      </w:r>
      <w:r w:rsidR="00551DF7">
        <w:t xml:space="preserve">ement, its mission statement </w:t>
      </w:r>
      <w:r w:rsidR="0037139B">
        <w:t>was</w:t>
      </w:r>
      <w:r w:rsidRPr="00576043">
        <w:t xml:space="preserve"> creat</w:t>
      </w:r>
      <w:r w:rsidR="005872E0">
        <w:t>ed and adopted by delegates in s</w:t>
      </w:r>
      <w:r w:rsidRPr="00576043">
        <w:t>pring 2005 (</w:t>
      </w:r>
      <w:hyperlink r:id="rId15">
        <w:r w:rsidRPr="00576043">
          <w:t>Resolution 1.03</w:t>
        </w:r>
      </w:hyperlink>
      <w:r w:rsidR="00551DF7">
        <w:t xml:space="preserve"> S05) </w:t>
      </w:r>
      <w:r w:rsidR="0037139B">
        <w:t>and</w:t>
      </w:r>
      <w:r w:rsidR="00551DF7">
        <w:t xml:space="preserve"> ha</w:t>
      </w:r>
      <w:r w:rsidR="0037139B">
        <w:t>s</w:t>
      </w:r>
      <w:r w:rsidRPr="00576043">
        <w:t xml:space="preserve"> remained unchanged since, and its values statements were created by the Executive Committee in response to</w:t>
      </w:r>
      <w:hyperlink r:id="rId16">
        <w:r w:rsidRPr="00576043">
          <w:t xml:space="preserve"> </w:t>
        </w:r>
      </w:hyperlink>
      <w:hyperlink r:id="rId17">
        <w:r w:rsidRPr="00576043">
          <w:t>Resolution 1.02</w:t>
        </w:r>
      </w:hyperlink>
      <w:r w:rsidRPr="00576043">
        <w:t xml:space="preserve"> F</w:t>
      </w:r>
      <w:r>
        <w:t>08 and adopted by delegates in f</w:t>
      </w:r>
      <w:r w:rsidRPr="00576043">
        <w:t>all 2009 (</w:t>
      </w:r>
      <w:hyperlink r:id="rId18">
        <w:r w:rsidRPr="00576043">
          <w:t>Resolution 1.02</w:t>
        </w:r>
      </w:hyperlink>
      <w:r w:rsidRPr="00576043">
        <w:t xml:space="preserve"> F09);</w:t>
      </w:r>
    </w:p>
    <w:p w14:paraId="0CE9C397" w14:textId="5D218BC9" w:rsidR="00576043" w:rsidRDefault="00576043" w:rsidP="00576043">
      <w:pPr>
        <w:spacing w:before="240" w:after="240"/>
      </w:pPr>
      <w:r>
        <w:t xml:space="preserve">Whereas, While the current mission and values statements remain relevant, they inadequately communicate the importance of diverse faculty representation and perspectives and </w:t>
      </w:r>
      <w:r w:rsidR="005872E0">
        <w:t xml:space="preserve">inadequately emphasize </w:t>
      </w:r>
      <w:r>
        <w:t>student success; and</w:t>
      </w:r>
    </w:p>
    <w:p w14:paraId="7F013691" w14:textId="3ACE51CC" w:rsidR="00576043" w:rsidRDefault="00576043" w:rsidP="00576043">
      <w:pPr>
        <w:spacing w:before="240" w:after="240"/>
      </w:pPr>
      <w:r>
        <w:t>Whereas, Input was solicited in breakouts at plenaries in fall 2018, spring 2019, and fall 2019, and participant feedback significantly shaped the draft considered by the Executive Committee and proposed for adoption by delegates;</w:t>
      </w:r>
    </w:p>
    <w:p w14:paraId="6C975A26" w14:textId="21680FF7" w:rsidR="00576043" w:rsidRDefault="00576043" w:rsidP="00576043">
      <w:pPr>
        <w:spacing w:before="240" w:after="240"/>
      </w:pPr>
      <w:r>
        <w:t>Resolved, The Academic Senate for California Community Colleges adopt the vision statement and updated mission and values statements</w:t>
      </w:r>
      <w:r>
        <w:rPr>
          <w:rStyle w:val="FootnoteReference"/>
        </w:rPr>
        <w:footnoteReference w:id="1"/>
      </w:r>
      <w:r>
        <w:t>.</w:t>
      </w:r>
    </w:p>
    <w:p w14:paraId="5CD37AC0" w14:textId="77777777" w:rsidR="00576043" w:rsidRDefault="00576043" w:rsidP="00576043">
      <w:pPr>
        <w:spacing w:before="240" w:after="240"/>
      </w:pPr>
      <w:r>
        <w:t>Contact: ASCCC Executive Committee</w:t>
      </w:r>
    </w:p>
    <w:p w14:paraId="48DF99E3" w14:textId="77777777" w:rsidR="00576043" w:rsidRDefault="00576043" w:rsidP="00576043">
      <w:pPr>
        <w:pStyle w:val="Heading1SectionTitle"/>
      </w:pPr>
      <w:bookmarkStart w:id="25" w:name="_Toc34645334"/>
      <w:r>
        <w:t>3.0 DIVERSITY AND EQUITY</w:t>
      </w:r>
      <w:bookmarkEnd w:id="25"/>
    </w:p>
    <w:p w14:paraId="3D98F84F" w14:textId="77777777" w:rsidR="00576043" w:rsidRDefault="00576043" w:rsidP="00576043"/>
    <w:p w14:paraId="30F86833" w14:textId="4E723EA8" w:rsidR="00576043" w:rsidRDefault="006616DB" w:rsidP="00576043">
      <w:pPr>
        <w:pStyle w:val="Heading2ResolutionTitle"/>
      </w:pPr>
      <w:bookmarkStart w:id="26" w:name="_Toc34645335"/>
      <w:r>
        <w:t>*</w:t>
      </w:r>
      <w:r w:rsidR="00576043">
        <w:t>3.01</w:t>
      </w:r>
      <w:r w:rsidR="00EF0E57">
        <w:tab/>
        <w:t>S20</w:t>
      </w:r>
      <w:r w:rsidR="0017581F">
        <w:t xml:space="preserve"> Support </w:t>
      </w:r>
      <w:r w:rsidR="0017581F" w:rsidRPr="004C6E05">
        <w:rPr>
          <w:i/>
        </w:rPr>
        <w:t>T</w:t>
      </w:r>
      <w:r w:rsidR="00576043" w:rsidRPr="004C6E05">
        <w:rPr>
          <w:i/>
        </w:rPr>
        <w:t>he Anti-Racism Pledge</w:t>
      </w:r>
      <w:bookmarkEnd w:id="26"/>
    </w:p>
    <w:p w14:paraId="66C33AEA" w14:textId="64CB8E49" w:rsidR="00576043" w:rsidRPr="00576043" w:rsidRDefault="00576043" w:rsidP="00576043">
      <w:pPr>
        <w:rPr>
          <w:rFonts w:eastAsiaTheme="majorEastAsia"/>
        </w:rPr>
      </w:pPr>
      <w:r>
        <w:t>Whereas, The Academic Senate for California Community Colleges adopted at the Fall Plen</w:t>
      </w:r>
      <w:r w:rsidR="005872E0">
        <w:t>ary of 2019 resolution 3.02 F19</w:t>
      </w:r>
      <w:r w:rsidR="0037139B">
        <w:t>,</w:t>
      </w:r>
      <w:r>
        <w:t xml:space="preserve"> Support Infusing Anti-Racism/No Hate Education in Community Colleges;</w:t>
      </w:r>
      <w:r w:rsidR="00E7275E">
        <w:t xml:space="preserve"> </w:t>
      </w:r>
      <w:r>
        <w:t>and</w:t>
      </w:r>
    </w:p>
    <w:p w14:paraId="34B8A577" w14:textId="597D9BD5" w:rsidR="00576043" w:rsidRDefault="00576043" w:rsidP="00576043">
      <w:pPr>
        <w:spacing w:before="240" w:after="240"/>
      </w:pPr>
      <w:r>
        <w:t>Whereas, The resolution established a commitment for the Academic Senate for California Community Colleges to “take steps to not only strive for a greater knowledge about and the ce</w:t>
      </w:r>
      <w:r w:rsidR="0017581F">
        <w:t>lebration of diversity, but also to</w:t>
      </w:r>
      <w:r>
        <w:t xml:space="preserve"> support deeper training that reveals the inherent racism embedded in societal institutions, incl</w:t>
      </w:r>
      <w:r w:rsidR="0017581F">
        <w:t>uding the educational system,</w:t>
      </w:r>
      <w:r>
        <w:t xml:space="preserve"> and asks individuals to examine their personal role in the support of racist structures and the commitment to work to dismantle structural racism”; </w:t>
      </w:r>
    </w:p>
    <w:p w14:paraId="2AB084A6" w14:textId="5EC85FA9" w:rsidR="00576043" w:rsidRDefault="00576043" w:rsidP="00576043">
      <w:pPr>
        <w:spacing w:before="240" w:after="240"/>
      </w:pPr>
      <w:r>
        <w:t>Resolved, That the Academic Senate for California Community Colleges distrib</w:t>
      </w:r>
      <w:r w:rsidR="00E7275E">
        <w:t xml:space="preserve">ute </w:t>
      </w:r>
      <w:r w:rsidR="0037139B">
        <w:t>“</w:t>
      </w:r>
      <w:r w:rsidR="00E7275E" w:rsidRPr="00F80298">
        <w:t>T</w:t>
      </w:r>
      <w:r w:rsidRPr="00F80298">
        <w:t>he Anti-Racism Pledge</w:t>
      </w:r>
      <w:r w:rsidR="0037139B">
        <w:rPr>
          <w:rStyle w:val="FootnoteReference"/>
        </w:rPr>
        <w:t>”</w:t>
      </w:r>
      <w:r w:rsidR="00E7275E">
        <w:rPr>
          <w:rStyle w:val="FootnoteReference"/>
        </w:rPr>
        <w:footnoteReference w:id="2"/>
      </w:r>
      <w:r>
        <w:t xml:space="preserve">; </w:t>
      </w:r>
    </w:p>
    <w:p w14:paraId="50DD938B" w14:textId="369A696D" w:rsidR="00576043" w:rsidRDefault="00576043" w:rsidP="00576043">
      <w:pPr>
        <w:spacing w:before="240" w:after="240"/>
      </w:pPr>
      <w:r>
        <w:t>Resolved, That the Academic Senate for California Community Colleges ask faculty and other stakeholders to examine their personal role and commit to dismantl</w:t>
      </w:r>
      <w:r w:rsidR="00E7275E">
        <w:t xml:space="preserve">e structural racism by signing </w:t>
      </w:r>
      <w:r w:rsidR="0037139B">
        <w:t>“</w:t>
      </w:r>
      <w:r w:rsidR="00E7275E" w:rsidRPr="00F80298">
        <w:t>T</w:t>
      </w:r>
      <w:r w:rsidRPr="00F80298">
        <w:t>he Anti-Racism Pledge</w:t>
      </w:r>
      <w:r w:rsidR="0037139B">
        <w:t>”</w:t>
      </w:r>
      <w:r>
        <w:t>; and</w:t>
      </w:r>
    </w:p>
    <w:p w14:paraId="5F722106" w14:textId="77777777" w:rsidR="00576043" w:rsidRDefault="00576043" w:rsidP="00576043">
      <w:pPr>
        <w:spacing w:before="240" w:after="240"/>
      </w:pPr>
      <w:r>
        <w:lastRenderedPageBreak/>
        <w:t xml:space="preserve">Resolved, That the Academic Senate for California Community Colleges, in order to work toward ending institutional discrimination, provide deeper training that reveals and addresses the inherent racism embedded in societal and educational institutions to faculty by spring of 2021. </w:t>
      </w:r>
    </w:p>
    <w:p w14:paraId="7475B5E9" w14:textId="55DF5BC9" w:rsidR="00576043" w:rsidRDefault="00576043" w:rsidP="00EF0E57">
      <w:pPr>
        <w:spacing w:before="240" w:after="240"/>
      </w:pPr>
      <w:r>
        <w:t xml:space="preserve">Contact:  Karla Kirk, Equity and Diversity Action Committee </w:t>
      </w:r>
    </w:p>
    <w:p w14:paraId="0345B236" w14:textId="6A3CD7D2" w:rsidR="00E7275E" w:rsidRPr="00EF0E57" w:rsidRDefault="006616DB" w:rsidP="00E7275E">
      <w:pPr>
        <w:pStyle w:val="Heading2ResolutionTitle"/>
        <w:rPr>
          <w:i/>
        </w:rPr>
      </w:pPr>
      <w:bookmarkStart w:id="27" w:name="_Toc34645336"/>
      <w:r>
        <w:t>*</w:t>
      </w:r>
      <w:r w:rsidR="00E7275E">
        <w:t>3.02</w:t>
      </w:r>
      <w:r w:rsidR="00EF0E57">
        <w:tab/>
        <w:t>S20</w:t>
      </w:r>
      <w:r w:rsidR="00576043">
        <w:t xml:space="preserve"> </w:t>
      </w:r>
      <w:r w:rsidR="00576043" w:rsidRPr="00EF0E57">
        <w:rPr>
          <w:i/>
        </w:rPr>
        <w:t>Anti-Racism in California Community Colleges</w:t>
      </w:r>
      <w:r w:rsidR="00E7275E" w:rsidRPr="00EF0E57">
        <w:rPr>
          <w:i/>
        </w:rPr>
        <w:t>—</w:t>
      </w:r>
      <w:r w:rsidR="00576043" w:rsidRPr="00EF0E57">
        <w:rPr>
          <w:i/>
        </w:rPr>
        <w:t>An Academic Senate Paper</w:t>
      </w:r>
      <w:bookmarkEnd w:id="27"/>
    </w:p>
    <w:p w14:paraId="7669A319" w14:textId="4A969689" w:rsidR="00576043" w:rsidRPr="00E7275E" w:rsidRDefault="00576043" w:rsidP="00E7275E">
      <w:pPr>
        <w:rPr>
          <w:rFonts w:eastAsiaTheme="majorEastAsia"/>
        </w:rPr>
      </w:pPr>
      <w:r>
        <w:t>Whereas, The Academic Senate for California Community Colleges adopted at the Fall Plen</w:t>
      </w:r>
      <w:r w:rsidR="005872E0">
        <w:t>ary of 2019 resolution 3.02 F19</w:t>
      </w:r>
      <w:r w:rsidR="0037139B">
        <w:t>,</w:t>
      </w:r>
      <w:r>
        <w:t xml:space="preserve"> Support Infusing Anti-Racism/No Hate Education in Community Colleges; and</w:t>
      </w:r>
    </w:p>
    <w:p w14:paraId="4DA2F59C" w14:textId="118A5683" w:rsidR="00576043" w:rsidRDefault="00576043" w:rsidP="00576043">
      <w:pPr>
        <w:spacing w:before="240" w:after="200"/>
      </w:pPr>
      <w:r>
        <w:t xml:space="preserve">Whereas, Understanding of the history of discriminatory laws and racial diversification in the California Community Colleges system would inform current faculty diversification efforts;  </w:t>
      </w:r>
    </w:p>
    <w:p w14:paraId="7FB54180" w14:textId="61A587B6" w:rsidR="00576043" w:rsidRDefault="00576043" w:rsidP="00576043">
      <w:pPr>
        <w:spacing w:before="240" w:after="200"/>
      </w:pPr>
      <w:r>
        <w:t xml:space="preserve">Resolved, That the Academic Senate for California Community Colleges develop a position paper titled </w:t>
      </w:r>
      <w:r>
        <w:rPr>
          <w:i/>
        </w:rPr>
        <w:t>Anti-Racism in California Community Colleges</w:t>
      </w:r>
      <w:r w:rsidR="00E7275E">
        <w:rPr>
          <w:i/>
        </w:rPr>
        <w:t>—</w:t>
      </w:r>
      <w:r>
        <w:rPr>
          <w:i/>
        </w:rPr>
        <w:t>An Academic Senate Paper</w:t>
      </w:r>
      <w:r>
        <w:t xml:space="preserve"> for consideration and adoption at the Spring 2021 Plenary Session. </w:t>
      </w:r>
    </w:p>
    <w:p w14:paraId="53CE1522" w14:textId="7DB0BECE" w:rsidR="00576043" w:rsidRDefault="00576043" w:rsidP="00576043">
      <w:pPr>
        <w:spacing w:before="240" w:after="200"/>
      </w:pPr>
      <w:r>
        <w:t xml:space="preserve">Contact: Darcie McClelland, Equity and Diversity Action Committee </w:t>
      </w:r>
    </w:p>
    <w:p w14:paraId="3A421EE7" w14:textId="28A8AE8B" w:rsidR="00EF0E57" w:rsidRDefault="006616DB" w:rsidP="00EF0E57">
      <w:pPr>
        <w:pStyle w:val="Heading2ResolutionTitle"/>
      </w:pPr>
      <w:bookmarkStart w:id="28" w:name="_Toc34645337"/>
      <w:r>
        <w:t>*</w:t>
      </w:r>
      <w:r w:rsidR="00E7275E">
        <w:t>3.03</w:t>
      </w:r>
      <w:r>
        <w:tab/>
        <w:t>S20</w:t>
      </w:r>
      <w:r w:rsidR="00576043">
        <w:t xml:space="preserve"> Recommendation to Update Title 5 Language for Minimum Qualifications</w:t>
      </w:r>
      <w:bookmarkEnd w:id="28"/>
    </w:p>
    <w:p w14:paraId="36EBBAF3" w14:textId="3DCC5563" w:rsidR="00576043" w:rsidRPr="00EF0E57" w:rsidRDefault="00576043" w:rsidP="00EF0E57">
      <w:pPr>
        <w:rPr>
          <w:rFonts w:eastAsiaTheme="majorEastAsia"/>
        </w:rPr>
      </w:pPr>
      <w:r>
        <w:t>Whereas, The Academic Senate for California Community Colleges adopted a new inclusivity statement in fall 2019</w:t>
      </w:r>
      <w:r w:rsidR="0037139B">
        <w:t>—</w:t>
      </w:r>
      <w:r>
        <w:t>Resolution 3.03</w:t>
      </w:r>
      <w:r w:rsidR="00EF0E57">
        <w:t xml:space="preserve"> F19</w:t>
      </w:r>
      <w:r w:rsidR="0037139B">
        <w:t>,</w:t>
      </w:r>
      <w:r>
        <w:t xml:space="preserve"> Replacing the Academic Senate for California Community Colleges Inclusivity Statement</w:t>
      </w:r>
      <w:r w:rsidR="0037139B">
        <w:t>—</w:t>
      </w:r>
      <w:r>
        <w:t>that aligns with the Board of Governor’s Diversity, Equity, and Inclusion Statement;</w:t>
      </w:r>
      <w:r w:rsidR="00EF0E57">
        <w:rPr>
          <w:rStyle w:val="FootnoteReference"/>
        </w:rPr>
        <w:footnoteReference w:id="3"/>
      </w:r>
    </w:p>
    <w:p w14:paraId="0C6FCA35" w14:textId="188BAFD7" w:rsidR="00576043" w:rsidRDefault="00576043" w:rsidP="00576043">
      <w:pPr>
        <w:spacing w:before="240" w:after="240"/>
      </w:pPr>
      <w:r>
        <w:t xml:space="preserve">Whereas, The </w:t>
      </w:r>
      <w:r w:rsidR="0037139B">
        <w:t xml:space="preserve">paper </w:t>
      </w:r>
      <w:r w:rsidR="0037139B">
        <w:rPr>
          <w:i/>
        </w:rPr>
        <w:t>Equity Driven Systems: Student Equity and Achievement in the California Community Colleges</w:t>
      </w:r>
      <w:r w:rsidR="0037139B" w:rsidRPr="00F80298">
        <w:t>, adopted through</w:t>
      </w:r>
      <w:r w:rsidR="0037139B">
        <w:rPr>
          <w:i/>
        </w:rPr>
        <w:t xml:space="preserve"> </w:t>
      </w:r>
      <w:r w:rsidR="0037139B">
        <w:t>Resolution 3.04 F19,</w:t>
      </w:r>
      <w:r w:rsidR="0037139B" w:rsidDel="0037139B">
        <w:t xml:space="preserve"> </w:t>
      </w:r>
      <w:r>
        <w:t xml:space="preserve">calls for </w:t>
      </w:r>
      <w:r w:rsidR="0037139B">
        <w:t xml:space="preserve">the </w:t>
      </w:r>
      <w:r>
        <w:t>Academic Senate for California Community Colleges and local</w:t>
      </w:r>
      <w:r w:rsidR="00A00169">
        <w:t xml:space="preserve"> academic</w:t>
      </w:r>
      <w:r>
        <w:t xml:space="preserve"> senates to move beyond individual actions to transformational system change addressing policies and procedures;</w:t>
      </w:r>
    </w:p>
    <w:p w14:paraId="37AD0322" w14:textId="77777777" w:rsidR="00576043" w:rsidRDefault="00576043" w:rsidP="00576043">
      <w:pPr>
        <w:spacing w:before="240" w:after="240"/>
        <w:rPr>
          <w:highlight w:val="yellow"/>
        </w:rPr>
      </w:pPr>
      <w:r>
        <w:t xml:space="preserve">Whereas, Title 5, </w:t>
      </w:r>
      <w:r>
        <w:rPr>
          <w:color w:val="252525"/>
          <w:highlight w:val="white"/>
        </w:rPr>
        <w:t>§</w:t>
      </w:r>
      <w:r>
        <w:t xml:space="preserve"> 53024.1 acknowledges that “establishing and maintaining a richly diverse workforce is an on-going process that requires continued institutionalized effort”; and</w:t>
      </w:r>
    </w:p>
    <w:p w14:paraId="035E0BD1" w14:textId="77777777" w:rsidR="00576043" w:rsidRDefault="00576043" w:rsidP="00576043">
      <w:pPr>
        <w:spacing w:before="240" w:after="240"/>
      </w:pPr>
      <w:r>
        <w:t xml:space="preserve">Whereas, Title 5, </w:t>
      </w:r>
      <w:r>
        <w:rPr>
          <w:color w:val="252525"/>
          <w:highlight w:val="white"/>
        </w:rPr>
        <w:t>§ 53022</w:t>
      </w:r>
      <w:r>
        <w:t xml:space="preserve"> defines the minimum qualifications for all faculty positions and requires all faculty applicants to demonstrate “</w:t>
      </w:r>
      <w:r>
        <w:rPr>
          <w:color w:val="212121"/>
          <w:highlight w:val="white"/>
        </w:rPr>
        <w:t>a sensitivity to and understanding of the diverse academic, socioeconomic, cultural, disability, gender identity, sexual orientation, and ethnic backgrounds of community college students”;</w:t>
      </w:r>
    </w:p>
    <w:p w14:paraId="49F809F2" w14:textId="1D8EDC49" w:rsidR="00576043" w:rsidRDefault="00576043" w:rsidP="00A00169">
      <w:pPr>
        <w:spacing w:before="240" w:after="240"/>
        <w:rPr>
          <w:color w:val="000080"/>
          <w:highlight w:val="white"/>
        </w:rPr>
      </w:pPr>
      <w:r>
        <w:lastRenderedPageBreak/>
        <w:t>Resolved, That the Academic Senate for California Community Colleges work with the California Community College</w:t>
      </w:r>
      <w:r w:rsidR="00A00169">
        <w:t>s</w:t>
      </w:r>
      <w:r>
        <w:t xml:space="preserve"> Chancellor’s Office to recommend</w:t>
      </w:r>
      <w:r w:rsidR="00FA0F94">
        <w:t xml:space="preserve"> changes for</w:t>
      </w:r>
      <w:r>
        <w:t xml:space="preserve"> consideration regarding the minimum qualifications that may include</w:t>
      </w:r>
      <w:r w:rsidR="00964311">
        <w:t xml:space="preserve"> an</w:t>
      </w:r>
      <w:r>
        <w:t xml:space="preserve"> update</w:t>
      </w:r>
      <w:r w:rsidR="00964311">
        <w:t xml:space="preserve"> to</w:t>
      </w:r>
      <w:r>
        <w:t xml:space="preserve"> the </w:t>
      </w:r>
      <w:r w:rsidR="0037139B">
        <w:t>T</w:t>
      </w:r>
      <w:r>
        <w:t xml:space="preserve">itle 5, </w:t>
      </w:r>
      <w:r>
        <w:rPr>
          <w:color w:val="252525"/>
          <w:highlight w:val="white"/>
        </w:rPr>
        <w:t>§53022</w:t>
      </w:r>
      <w:r>
        <w:t xml:space="preserve"> language to exhibit and reflect the demonstration of cultural humility,</w:t>
      </w:r>
      <w:r w:rsidR="00A00169">
        <w:rPr>
          <w:rStyle w:val="FootnoteReference"/>
        </w:rPr>
        <w:footnoteReference w:id="4"/>
      </w:r>
      <w:r>
        <w:t xml:space="preserve"> cultural responsiveness,</w:t>
      </w:r>
      <w:r w:rsidR="00A00169">
        <w:rPr>
          <w:rStyle w:val="FootnoteReference"/>
        </w:rPr>
        <w:footnoteReference w:id="5"/>
      </w:r>
      <w:r>
        <w:t xml:space="preserve"> and equity-mindedness</w:t>
      </w:r>
      <w:r w:rsidR="00A00169">
        <w:rPr>
          <w:rStyle w:val="FootnoteReference"/>
        </w:rPr>
        <w:footnoteReference w:id="6"/>
      </w:r>
      <w:r>
        <w:t xml:space="preserve"> that transcend “sensitivity” and further define the knowledge, skills, and behaviors in the second minimum qualification for faculty positions.</w:t>
      </w:r>
    </w:p>
    <w:p w14:paraId="4BA26B85" w14:textId="77777777" w:rsidR="00576043" w:rsidRDefault="00576043" w:rsidP="00576043">
      <w:pPr>
        <w:spacing w:before="240" w:after="240"/>
      </w:pPr>
      <w:r>
        <w:t>Contact: Luke Lara, Faculty Leadership Development Committee</w:t>
      </w:r>
    </w:p>
    <w:p w14:paraId="45B22E72" w14:textId="00957E88" w:rsidR="00576043" w:rsidRDefault="00A00169" w:rsidP="00A00169">
      <w:pPr>
        <w:pStyle w:val="Heading1SectionTitle"/>
      </w:pPr>
      <w:bookmarkStart w:id="29" w:name="_Toc34645338"/>
      <w:r>
        <w:t>9.0 CURRICULUM</w:t>
      </w:r>
      <w:bookmarkEnd w:id="29"/>
    </w:p>
    <w:p w14:paraId="0094D382" w14:textId="77777777" w:rsidR="00A85E00" w:rsidRDefault="00A85E00" w:rsidP="00A85E00"/>
    <w:p w14:paraId="3910C7C6" w14:textId="77777777" w:rsidR="00A00169" w:rsidRDefault="00A00169" w:rsidP="00A00169">
      <w:pPr>
        <w:pStyle w:val="Heading2ResolutionTitle"/>
      </w:pPr>
      <w:bookmarkStart w:id="30" w:name="_Toc34645339"/>
      <w:r>
        <w:t>*9.01</w:t>
      </w:r>
      <w:r>
        <w:tab/>
        <w:t>S20</w:t>
      </w:r>
      <w:r w:rsidR="00576043">
        <w:t xml:space="preserve"> Recommendations for the Implementation of a No-Cost Designation in Course Schedules</w:t>
      </w:r>
      <w:bookmarkEnd w:id="30"/>
    </w:p>
    <w:p w14:paraId="7AF0DB71" w14:textId="0CA593BF" w:rsidR="00576043" w:rsidRPr="00A00169" w:rsidRDefault="00576043" w:rsidP="00A00169">
      <w:pPr>
        <w:rPr>
          <w:rFonts w:eastAsiaTheme="majorEastAsia"/>
        </w:rPr>
      </w:pPr>
      <w:r>
        <w:t>Whereas, Resolution 13.01 S19 asked that the “Academic Senate for California Community Colleges develop suggested guidelines, policies, and practices for implementation of SB 1359 (Block, 201</w:t>
      </w:r>
      <w:r w:rsidR="00A00169">
        <w:t>6) no later than Spring of 2020</w:t>
      </w:r>
      <w:r>
        <w:t>”;</w:t>
      </w:r>
    </w:p>
    <w:p w14:paraId="051F6CE0" w14:textId="77777777" w:rsidR="00576043" w:rsidRDefault="00576043" w:rsidP="00A00169">
      <w:pPr>
        <w:spacing w:before="240" w:after="240"/>
      </w:pPr>
      <w:r>
        <w:t>Whereas, Most California community colleges have overcome the technical challenges associated with implementing a “no-cost” designation in their online course schedules and are now seeking to perfect this implementation by ensuring consistency in the criteria used to determine which sections are marked with this designation and establishing procedures to ensure that no qualifying sections are missed;</w:t>
      </w:r>
    </w:p>
    <w:p w14:paraId="21A0735E" w14:textId="5712A3A7" w:rsidR="00576043" w:rsidRDefault="00576043" w:rsidP="00576043">
      <w:pPr>
        <w:spacing w:before="240" w:after="240"/>
      </w:pPr>
      <w:r>
        <w:t>Whereas, The details of the legislation</w:t>
      </w:r>
      <w:r w:rsidR="0037139B">
        <w:t>—</w:t>
      </w:r>
      <w:r>
        <w:t>i.e., the requirement that sections marked with the no-cost designation be those “that exclusively u</w:t>
      </w:r>
      <w:r w:rsidR="00A85E00">
        <w:t>se digital course materials”</w:t>
      </w:r>
      <w:r w:rsidR="0037139B">
        <w:t>—</w:t>
      </w:r>
      <w:r w:rsidR="00A85E00">
        <w:t>are</w:t>
      </w:r>
      <w:r>
        <w:t xml:space="preserve"> inconsistent with how “zero textbook cost”</w:t>
      </w:r>
      <w:r w:rsidR="0037139B">
        <w:t xml:space="preserve"> </w:t>
      </w:r>
      <w:r>
        <w:t>had been defined by the California Community Colleges Chancellor’s Office and do not address how courses that have never required a text</w:t>
      </w:r>
      <w:r w:rsidR="0037139B">
        <w:t xml:space="preserve">, </w:t>
      </w:r>
      <w:r>
        <w:t>as documented in the course outline of record</w:t>
      </w:r>
      <w:r w:rsidR="0037139B">
        <w:t>,</w:t>
      </w:r>
      <w:r>
        <w:t xml:space="preserve"> should be treated; and</w:t>
      </w:r>
    </w:p>
    <w:p w14:paraId="23769426" w14:textId="011D14E3" w:rsidR="00576043" w:rsidRDefault="00576043" w:rsidP="00576043">
      <w:pPr>
        <w:spacing w:before="240" w:after="240"/>
      </w:pPr>
      <w:r>
        <w:t>Whereas, Consistency and transparency across colleges is beneficial to students, faculty, and anyone with an interest in assessing the impact of efforts to reduce textbook costs;</w:t>
      </w:r>
    </w:p>
    <w:p w14:paraId="171E35B9" w14:textId="325972FE" w:rsidR="00576043" w:rsidRDefault="00576043" w:rsidP="00576043">
      <w:pPr>
        <w:spacing w:before="240" w:after="240"/>
      </w:pPr>
      <w:r>
        <w:t>Resolved, That the Academic Senate for California Community Colleges recommend that colleges implement both</w:t>
      </w:r>
      <w:r w:rsidR="0037139B">
        <w:t xml:space="preserve"> of the following</w:t>
      </w:r>
      <w:r>
        <w:t>:</w:t>
      </w:r>
    </w:p>
    <w:p w14:paraId="7CFFAB5B" w14:textId="77777777" w:rsidR="00576043" w:rsidRDefault="00576043" w:rsidP="00576043">
      <w:pPr>
        <w:spacing w:before="240" w:after="240"/>
        <w:ind w:left="780"/>
      </w:pPr>
      <w:r>
        <w:lastRenderedPageBreak/>
        <w:t>1.</w:t>
      </w:r>
      <w:r>
        <w:rPr>
          <w:sz w:val="14"/>
          <w:szCs w:val="14"/>
        </w:rPr>
        <w:t xml:space="preserve">    </w:t>
      </w:r>
      <w:r>
        <w:t>a no-cost designation for course sections that require a text but no-cost is passed on to students and</w:t>
      </w:r>
    </w:p>
    <w:p w14:paraId="775DC841" w14:textId="77777777" w:rsidR="00576043" w:rsidRDefault="00576043" w:rsidP="00576043">
      <w:pPr>
        <w:spacing w:before="240" w:after="240"/>
        <w:ind w:left="780"/>
      </w:pPr>
      <w:r>
        <w:t>2.</w:t>
      </w:r>
      <w:r>
        <w:rPr>
          <w:sz w:val="14"/>
          <w:szCs w:val="14"/>
        </w:rPr>
        <w:t xml:space="preserve">    </w:t>
      </w:r>
      <w:r>
        <w:t>a separate designation to recognize those courses that do not require a text and, consequently, have no associated costs for instructional resources;</w:t>
      </w:r>
    </w:p>
    <w:p w14:paraId="63D84BBD" w14:textId="77777777" w:rsidR="00576043" w:rsidRDefault="00576043" w:rsidP="00576043">
      <w:pPr>
        <w:spacing w:before="240" w:after="240"/>
      </w:pPr>
      <w:r>
        <w:t>Resolved, That the Academic Senate for California Community Colleges recommend that the no-cost designation be used to recognize those sections that use digital resources (consistent with SB 1359[Block, 2016]) and those sections that require a text yet are “no-cost” due to something other than a digital alternative;</w:t>
      </w:r>
    </w:p>
    <w:p w14:paraId="7BDE81AD" w14:textId="77777777" w:rsidR="00576043" w:rsidRDefault="00576043" w:rsidP="00576043">
      <w:pPr>
        <w:spacing w:before="240" w:after="240"/>
      </w:pPr>
      <w:r>
        <w:t>Resolved, That the Academic Senate for California Community Colleges recommend integration of identification of a course section as being no-cost into the existing textbook selection process; and</w:t>
      </w:r>
    </w:p>
    <w:p w14:paraId="2221B8E5" w14:textId="156DB32F" w:rsidR="00576043" w:rsidRDefault="00576043" w:rsidP="00576043">
      <w:pPr>
        <w:spacing w:before="240" w:after="240"/>
      </w:pPr>
      <w:r>
        <w:t>Resolved, That the Academic Senate for California Community Colleges provide additional guidance and resources related to SB 1359</w:t>
      </w:r>
      <w:r w:rsidR="00A00169">
        <w:t xml:space="preserve"> (Block, 2016) no later than the Fall 2020 P</w:t>
      </w:r>
      <w:r>
        <w:t>lenary.</w:t>
      </w:r>
    </w:p>
    <w:p w14:paraId="02BEE42A" w14:textId="6EB31E86" w:rsidR="00576043" w:rsidRDefault="00576043" w:rsidP="00576043">
      <w:pPr>
        <w:spacing w:before="240" w:after="240"/>
      </w:pPr>
      <w:r>
        <w:t>Contact: Michelle Pilati, Faculty Coordinator</w:t>
      </w:r>
      <w:r w:rsidR="00606463">
        <w:t>,</w:t>
      </w:r>
      <w:bookmarkStart w:id="31" w:name="_GoBack"/>
      <w:bookmarkEnd w:id="31"/>
      <w:r>
        <w:t xml:space="preserve"> ASCCC Open Educational Resources Initiative</w:t>
      </w:r>
    </w:p>
    <w:p w14:paraId="7043D0DC" w14:textId="2C7FD164" w:rsidR="00576043" w:rsidRDefault="00A00169" w:rsidP="00A00169">
      <w:pPr>
        <w:pStyle w:val="Heading1SectionTitle"/>
      </w:pPr>
      <w:bookmarkStart w:id="32" w:name="_Toc34645340"/>
      <w:r>
        <w:t>10.0 DISCIPLINES LIST</w:t>
      </w:r>
      <w:bookmarkEnd w:id="32"/>
    </w:p>
    <w:p w14:paraId="06BC1E5D" w14:textId="77777777" w:rsidR="00A00169" w:rsidRDefault="00A00169" w:rsidP="00A00169"/>
    <w:p w14:paraId="74B06B34" w14:textId="3695862D" w:rsidR="00576043" w:rsidRDefault="006616DB" w:rsidP="00A00169">
      <w:pPr>
        <w:pStyle w:val="Heading2ResolutionTitle"/>
      </w:pPr>
      <w:bookmarkStart w:id="33" w:name="_Toc34645341"/>
      <w:r>
        <w:t>*</w:t>
      </w:r>
      <w:r w:rsidR="00A00169">
        <w:t>10.01</w:t>
      </w:r>
      <w:r>
        <w:tab/>
        <w:t>S20</w:t>
      </w:r>
      <w:r w:rsidR="00576043">
        <w:t xml:space="preserve"> </w:t>
      </w:r>
      <w:r w:rsidR="00576043" w:rsidRPr="008E764A">
        <w:rPr>
          <w:i/>
        </w:rPr>
        <w:t>Disciplines List</w:t>
      </w:r>
      <w:r w:rsidR="00A00169">
        <w:t>—</w:t>
      </w:r>
      <w:r w:rsidR="00576043">
        <w:t>Registered</w:t>
      </w:r>
      <w:r w:rsidR="00A00169">
        <w:t xml:space="preserve"> </w:t>
      </w:r>
      <w:r w:rsidR="00576043">
        <w:t>Behavior Technician</w:t>
      </w:r>
      <w:bookmarkEnd w:id="33"/>
      <w:r w:rsidR="00576043">
        <w:t xml:space="preserve"> </w:t>
      </w:r>
    </w:p>
    <w:p w14:paraId="2F0D8E39" w14:textId="17DD8E36" w:rsidR="00576043" w:rsidRDefault="00576043" w:rsidP="00576043">
      <w:pPr>
        <w:spacing w:after="240"/>
      </w:pPr>
      <w:r>
        <w:t xml:space="preserve">Whereas, Oral and written testimony given through the consultation process used for the review of </w:t>
      </w:r>
      <w:r w:rsidRPr="00A00169">
        <w:rPr>
          <w:i/>
        </w:rPr>
        <w:t>Minimum Qualifications for Faculty and Administrators in California Community Colleges</w:t>
      </w:r>
      <w:r>
        <w:t xml:space="preserve">, also known as the </w:t>
      </w:r>
      <w:r w:rsidRPr="00A00169">
        <w:rPr>
          <w:i/>
        </w:rPr>
        <w:t>Disciplines List</w:t>
      </w:r>
      <w:r>
        <w:t>, supported the following addition of the Registered Behavior Technician discipline:</w:t>
      </w:r>
    </w:p>
    <w:p w14:paraId="3615DC93" w14:textId="77777777" w:rsidR="00576043" w:rsidRDefault="00576043" w:rsidP="00576043">
      <w:pPr>
        <w:spacing w:line="232" w:lineRule="auto"/>
        <w:ind w:right="1540"/>
        <w:jc w:val="both"/>
        <w:rPr>
          <w:i/>
        </w:rPr>
      </w:pPr>
      <w:r>
        <w:rPr>
          <w:i/>
        </w:rPr>
        <w:t>Master's in behavior analysis, education, or psychology</w:t>
      </w:r>
    </w:p>
    <w:p w14:paraId="7FBBD242" w14:textId="77777777" w:rsidR="00576043" w:rsidRDefault="00576043" w:rsidP="00576043">
      <w:pPr>
        <w:spacing w:line="232" w:lineRule="auto"/>
        <w:ind w:right="1540"/>
        <w:jc w:val="both"/>
        <w:rPr>
          <w:i/>
        </w:rPr>
      </w:pPr>
      <w:r>
        <w:rPr>
          <w:i/>
        </w:rPr>
        <w:t>OR</w:t>
      </w:r>
    </w:p>
    <w:p w14:paraId="637E2C87" w14:textId="77777777" w:rsidR="00576043" w:rsidRDefault="00576043" w:rsidP="00576043">
      <w:pPr>
        <w:spacing w:line="232" w:lineRule="auto"/>
        <w:ind w:right="1540"/>
        <w:jc w:val="both"/>
        <w:rPr>
          <w:i/>
        </w:rPr>
      </w:pPr>
      <w:r>
        <w:rPr>
          <w:i/>
        </w:rPr>
        <w:t>the equivalent</w:t>
      </w:r>
    </w:p>
    <w:p w14:paraId="7A7F2F4D" w14:textId="77777777" w:rsidR="00576043" w:rsidRDefault="00576043" w:rsidP="00576043">
      <w:pPr>
        <w:spacing w:line="232" w:lineRule="auto"/>
        <w:ind w:right="1540"/>
        <w:jc w:val="both"/>
        <w:rPr>
          <w:i/>
        </w:rPr>
      </w:pPr>
      <w:r>
        <w:rPr>
          <w:i/>
        </w:rPr>
        <w:t>AND</w:t>
      </w:r>
    </w:p>
    <w:p w14:paraId="7C468B44" w14:textId="77777777" w:rsidR="00576043" w:rsidRDefault="00576043" w:rsidP="00576043">
      <w:pPr>
        <w:spacing w:line="232" w:lineRule="auto"/>
        <w:ind w:right="1540"/>
        <w:jc w:val="both"/>
      </w:pPr>
      <w:r>
        <w:rPr>
          <w:i/>
        </w:rPr>
        <w:t>certification as a Board-Certified Behavior Analyst (BCBA) as set by the Behavior Analyst Certification Board (BACB)</w:t>
      </w:r>
      <w:r>
        <w:t>; and</w:t>
      </w:r>
    </w:p>
    <w:p w14:paraId="395997EE" w14:textId="77777777" w:rsidR="00576043" w:rsidRDefault="00576043" w:rsidP="00576043">
      <w:pPr>
        <w:spacing w:line="232" w:lineRule="auto"/>
        <w:ind w:right="1540"/>
        <w:jc w:val="both"/>
      </w:pPr>
      <w:r>
        <w:t xml:space="preserve"> </w:t>
      </w:r>
    </w:p>
    <w:p w14:paraId="3D26526A" w14:textId="77777777" w:rsidR="00576043" w:rsidRDefault="00576043" w:rsidP="00576043">
      <w:pPr>
        <w:spacing w:after="240"/>
      </w:pPr>
      <w:r>
        <w:t xml:space="preserve">Whereas, The Executive Committee of the Academic Senate for California Community Colleges has reviewed the proposal and deemed that the process outlined in the </w:t>
      </w:r>
      <w:r w:rsidRPr="00A00169">
        <w:rPr>
          <w:i/>
        </w:rPr>
        <w:t>Disciplines List Revision Handbook</w:t>
      </w:r>
      <w:r>
        <w:t xml:space="preserve"> was followed;</w:t>
      </w:r>
    </w:p>
    <w:p w14:paraId="023474E5" w14:textId="77777777" w:rsidR="00576043" w:rsidRDefault="00576043" w:rsidP="00576043">
      <w:pPr>
        <w:spacing w:after="240"/>
      </w:pPr>
      <w:r>
        <w:t xml:space="preserve">Resolved, That the Academic Senate for California Community Colleges recommend that the California Community Colleges Board of Governors adopt the proposed addition to the </w:t>
      </w:r>
      <w:r w:rsidRPr="006616DB">
        <w:rPr>
          <w:i/>
        </w:rPr>
        <w:t>Disciplines List</w:t>
      </w:r>
      <w:r>
        <w:t xml:space="preserve"> for Registered Behavior Technician.</w:t>
      </w:r>
    </w:p>
    <w:p w14:paraId="31751423" w14:textId="77777777" w:rsidR="00576043" w:rsidRDefault="00576043" w:rsidP="00576043">
      <w:pPr>
        <w:spacing w:after="240"/>
      </w:pPr>
      <w:r>
        <w:t xml:space="preserve">Contact: Angela Echeverri, Standards &amp; Practices Committee  </w:t>
      </w:r>
    </w:p>
    <w:p w14:paraId="73925D3A" w14:textId="77777777" w:rsidR="00576043" w:rsidRDefault="00576043" w:rsidP="00576043">
      <w:pPr>
        <w:spacing w:before="240" w:after="240"/>
      </w:pPr>
    </w:p>
    <w:p w14:paraId="39D5A697" w14:textId="77777777" w:rsidR="006616DB" w:rsidRPr="008E764A" w:rsidRDefault="006616DB" w:rsidP="006616DB">
      <w:pPr>
        <w:pStyle w:val="Heading2ResolutionTitle"/>
        <w:rPr>
          <w:i/>
        </w:rPr>
      </w:pPr>
      <w:bookmarkStart w:id="34" w:name="_Toc34645342"/>
      <w:r>
        <w:lastRenderedPageBreak/>
        <w:t>*10.02</w:t>
      </w:r>
      <w:r>
        <w:tab/>
        <w:t>S20</w:t>
      </w:r>
      <w:r w:rsidR="00576043">
        <w:t xml:space="preserve"> Update the Paper </w:t>
      </w:r>
      <w:r w:rsidR="00576043" w:rsidRPr="008E764A">
        <w:rPr>
          <w:i/>
        </w:rPr>
        <w:t>Equivalence to the Minimum Qualifications</w:t>
      </w:r>
      <w:bookmarkEnd w:id="34"/>
    </w:p>
    <w:p w14:paraId="59F23FD4" w14:textId="76DDF46C" w:rsidR="00576043" w:rsidRPr="006616DB" w:rsidRDefault="00576043" w:rsidP="006616DB">
      <w:pPr>
        <w:rPr>
          <w:rFonts w:eastAsiaTheme="majorEastAsia"/>
        </w:rPr>
      </w:pPr>
      <w:r>
        <w:t xml:space="preserve">Whereas, In 2014, a longitudinal study of a California community college reported that “underrepresented minority students” were more likely to complete courses and more likely to complete with a grade of B or higher in sections taught by an </w:t>
      </w:r>
      <w:r w:rsidR="006616DB">
        <w:t>“underrepresented instructor”</w:t>
      </w:r>
      <w:r w:rsidR="006616DB">
        <w:rPr>
          <w:rStyle w:val="FootnoteReference"/>
        </w:rPr>
        <w:footnoteReference w:id="7"/>
      </w:r>
      <w:r>
        <w:t>;</w:t>
      </w:r>
    </w:p>
    <w:p w14:paraId="3D878860" w14:textId="48C3E943" w:rsidR="00576043" w:rsidRDefault="00576043" w:rsidP="00576043">
      <w:pPr>
        <w:spacing w:before="240" w:after="240"/>
      </w:pPr>
      <w:r>
        <w:t>Whereas, The California Community Colleges Student Success Scorecard reports that in 2017 the gulf in completion rates for degree, certificate, or transfer within six years of entering community college was 30.1 percentage points between the group with the highest completion rate and the group with the lowest rate;</w:t>
      </w:r>
    </w:p>
    <w:p w14:paraId="138794FB" w14:textId="53B70C6D" w:rsidR="00576043" w:rsidRDefault="00576043" w:rsidP="00576043">
      <w:pPr>
        <w:spacing w:before="240" w:after="240"/>
      </w:pPr>
      <w:r>
        <w:t xml:space="preserve">Whereas, The 2016 Academic Senate for California Community Colleges 2016 paper </w:t>
      </w:r>
      <w:r>
        <w:rPr>
          <w:i/>
        </w:rPr>
        <w:t>Equivalence to the Minimum Qualifications</w:t>
      </w:r>
      <w:r>
        <w:t xml:space="preserve"> concludes that “Faculty equivalency to the minimum qualifications should be an uncommon occurrence, but it is an important mechanism to ensure a diverse group of qualified applicants is considered to engage and enhance student learning,” and at some districts equivalence is seldom or never granted or</w:t>
      </w:r>
      <w:r w:rsidR="00342A06">
        <w:t xml:space="preserve"> is</w:t>
      </w:r>
      <w:r>
        <w:t xml:space="preserve"> framed in a manner that discourages applicants who might demonstrate equivalence from applying, despite the mention of equivalence in California Education Code </w:t>
      </w:r>
      <w:r>
        <w:rPr>
          <w:highlight w:val="white"/>
        </w:rPr>
        <w:t xml:space="preserve">§ </w:t>
      </w:r>
      <w:r>
        <w:t>87359; and</w:t>
      </w:r>
    </w:p>
    <w:p w14:paraId="536B2D4F" w14:textId="77777777" w:rsidR="00576043" w:rsidRDefault="00576043" w:rsidP="00576043">
      <w:pPr>
        <w:spacing w:before="240" w:after="240"/>
      </w:pPr>
      <w:r>
        <w:t xml:space="preserve">Whereas, The </w:t>
      </w:r>
      <w:r>
        <w:rPr>
          <w:i/>
        </w:rPr>
        <w:t>Career Technical Education Faculty Minimum Qualifications Toolkit</w:t>
      </w:r>
      <w:r>
        <w:t xml:space="preserve"> (2019) provides means to document equivalence to the associate’s degree and is intended “to maximize the flexibility currently allowed in the use of equivalency, thus creating a deep, diverse, and qualified pool of industry-expert candidates”;</w:t>
      </w:r>
    </w:p>
    <w:p w14:paraId="51B61E84" w14:textId="77777777" w:rsidR="00576043" w:rsidRDefault="00576043" w:rsidP="00576043">
      <w:pPr>
        <w:spacing w:before="240" w:after="240"/>
      </w:pPr>
      <w:r>
        <w:t xml:space="preserve">Resolved, That the Academic Senate for California Community Colleges revise and update the paper </w:t>
      </w:r>
      <w:r>
        <w:rPr>
          <w:i/>
        </w:rPr>
        <w:t>Equivalence to the Minimum Qualifications</w:t>
      </w:r>
      <w:r>
        <w:t xml:space="preserve"> in such a manner as to clarify to the field that equivalence is not only legally permissible but necessary to broadening hiring pools as a means of promoting faculty diversification; and</w:t>
      </w:r>
    </w:p>
    <w:p w14:paraId="52BDA098" w14:textId="77777777" w:rsidR="00576043" w:rsidRDefault="00576043" w:rsidP="00576043">
      <w:pPr>
        <w:spacing w:before="240" w:after="240"/>
      </w:pPr>
      <w:r>
        <w:t xml:space="preserve">Resolved, That the Academic Senate for California Community Colleges revise and update the paper </w:t>
      </w:r>
      <w:r>
        <w:rPr>
          <w:i/>
        </w:rPr>
        <w:t>Equivalence to the Minimum Qualifications</w:t>
      </w:r>
      <w:r>
        <w:t xml:space="preserve"> to align with the Career Technical Education Faculty Minimum Qualifications Toolkit and bring the revised paper to the body for consideration by fall of 2021.</w:t>
      </w:r>
    </w:p>
    <w:p w14:paraId="4FC6BD9C" w14:textId="77777777" w:rsidR="00576043" w:rsidRDefault="00576043" w:rsidP="00576043">
      <w:pPr>
        <w:spacing w:before="240" w:after="240"/>
      </w:pPr>
      <w:r>
        <w:t>Contact: Eric Thompson, Standards &amp; Practices Committee</w:t>
      </w:r>
    </w:p>
    <w:p w14:paraId="1664F413" w14:textId="77777777" w:rsidR="00576043" w:rsidRDefault="00576043" w:rsidP="00576043"/>
    <w:p w14:paraId="36B1CB8D" w14:textId="77777777" w:rsidR="00C06725" w:rsidRDefault="00C06725" w:rsidP="00C06725"/>
    <w:sectPr w:rsidR="00C06725" w:rsidSect="00811182">
      <w:headerReference w:type="even" r:id="rId19"/>
      <w:headerReference w:type="default" r:id="rId20"/>
      <w:footerReference w:type="default" r:id="rId21"/>
      <w:headerReference w:type="first" r:id="rId2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A5D15" w14:textId="77777777" w:rsidR="00E56281" w:rsidRDefault="00E56281" w:rsidP="00C8198A">
      <w:r>
        <w:separator/>
      </w:r>
    </w:p>
  </w:endnote>
  <w:endnote w:type="continuationSeparator" w:id="0">
    <w:p w14:paraId="7E1B3216" w14:textId="77777777" w:rsidR="00E56281" w:rsidRDefault="00E56281" w:rsidP="00C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0EDE" w14:textId="77777777" w:rsidR="00DE3912" w:rsidRDefault="00DE3912" w:rsidP="001D69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6E80D" w14:textId="77777777" w:rsidR="00DE3912" w:rsidRDefault="00DE39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1664" w14:textId="29922D5F" w:rsidR="00DE3912" w:rsidRDefault="00DE3912"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0F17">
      <w:rPr>
        <w:rStyle w:val="PageNumber"/>
        <w:noProof/>
      </w:rPr>
      <w:t>iii</w:t>
    </w:r>
    <w:r>
      <w:rPr>
        <w:rStyle w:val="PageNumber"/>
      </w:rPr>
      <w:fldChar w:fldCharType="end"/>
    </w:r>
  </w:p>
  <w:p w14:paraId="57ACF25D" w14:textId="77777777" w:rsidR="00DE3912" w:rsidRDefault="00DE39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50E2" w14:textId="16DC472C" w:rsidR="00DE3912" w:rsidRDefault="00DE3912"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6463">
      <w:rPr>
        <w:rStyle w:val="PageNumber"/>
        <w:noProof/>
      </w:rPr>
      <w:t>4</w:t>
    </w:r>
    <w:r>
      <w:rPr>
        <w:rStyle w:val="PageNumber"/>
      </w:rPr>
      <w:fldChar w:fldCharType="end"/>
    </w:r>
  </w:p>
  <w:p w14:paraId="7CC1DB1E" w14:textId="77777777" w:rsidR="00DE3912" w:rsidRDefault="00DE39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0D40E" w14:textId="77777777" w:rsidR="00E56281" w:rsidRDefault="00E56281" w:rsidP="00C8198A">
      <w:r>
        <w:separator/>
      </w:r>
    </w:p>
  </w:footnote>
  <w:footnote w:type="continuationSeparator" w:id="0">
    <w:p w14:paraId="3DF043CE" w14:textId="77777777" w:rsidR="00E56281" w:rsidRDefault="00E56281" w:rsidP="00C8198A">
      <w:r>
        <w:continuationSeparator/>
      </w:r>
    </w:p>
  </w:footnote>
  <w:footnote w:id="1">
    <w:p w14:paraId="30393B4B" w14:textId="3785577A" w:rsidR="00576043" w:rsidRDefault="00576043">
      <w:pPr>
        <w:pStyle w:val="FootnoteText"/>
      </w:pPr>
      <w:r>
        <w:rPr>
          <w:rStyle w:val="FootnoteReference"/>
        </w:rPr>
        <w:footnoteRef/>
      </w:r>
      <w:r>
        <w:t xml:space="preserve"> </w:t>
      </w:r>
      <w:r w:rsidR="006E6AEB">
        <w:rPr>
          <w:sz w:val="18"/>
          <w:szCs w:val="18"/>
        </w:rPr>
        <w:t>Appendix A</w:t>
      </w:r>
      <w:r w:rsidRPr="008E764A">
        <w:rPr>
          <w:sz w:val="18"/>
          <w:szCs w:val="18"/>
        </w:rPr>
        <w:t>: Proposed ASCCC Vision, Mission, and Values Statement</w:t>
      </w:r>
      <w:r>
        <w:t xml:space="preserve"> </w:t>
      </w:r>
    </w:p>
  </w:footnote>
  <w:footnote w:id="2">
    <w:p w14:paraId="7D976845" w14:textId="0383604A" w:rsidR="00E7275E" w:rsidRDefault="00E7275E">
      <w:pPr>
        <w:pStyle w:val="FootnoteText"/>
      </w:pPr>
      <w:r>
        <w:rPr>
          <w:rStyle w:val="FootnoteReference"/>
        </w:rPr>
        <w:footnoteRef/>
      </w:r>
      <w:r>
        <w:t xml:space="preserve"> </w:t>
      </w:r>
      <w:r w:rsidRPr="008E764A">
        <w:rPr>
          <w:sz w:val="18"/>
          <w:szCs w:val="18"/>
        </w:rPr>
        <w:t>Appendix</w:t>
      </w:r>
      <w:r w:rsidR="006E6AEB">
        <w:rPr>
          <w:sz w:val="18"/>
          <w:szCs w:val="18"/>
        </w:rPr>
        <w:t xml:space="preserve"> B</w:t>
      </w:r>
      <w:r w:rsidRPr="008E764A">
        <w:rPr>
          <w:sz w:val="18"/>
          <w:szCs w:val="18"/>
        </w:rPr>
        <w:t xml:space="preserve">: </w:t>
      </w:r>
      <w:r w:rsidRPr="008E764A">
        <w:rPr>
          <w:i/>
          <w:sz w:val="18"/>
          <w:szCs w:val="18"/>
        </w:rPr>
        <w:t>The Anti-Racism Pledge</w:t>
      </w:r>
      <w:r>
        <w:t xml:space="preserve"> </w:t>
      </w:r>
      <w:r>
        <w:rPr>
          <w:sz w:val="72"/>
          <w:szCs w:val="72"/>
        </w:rPr>
        <w:t xml:space="preserve"> </w:t>
      </w:r>
    </w:p>
  </w:footnote>
  <w:footnote w:id="3">
    <w:p w14:paraId="43658BC7" w14:textId="04980D5A" w:rsidR="00EF0E57" w:rsidRDefault="00EF0E57">
      <w:pPr>
        <w:pStyle w:val="FootnoteText"/>
      </w:pPr>
      <w:r>
        <w:rPr>
          <w:rStyle w:val="FootnoteReference"/>
        </w:rPr>
        <w:footnoteRef/>
      </w:r>
      <w:r>
        <w:rPr>
          <w:sz w:val="20"/>
          <w:szCs w:val="20"/>
        </w:rPr>
        <w:t>V</w:t>
      </w:r>
      <w:r w:rsidRPr="008E764A">
        <w:rPr>
          <w:sz w:val="18"/>
          <w:szCs w:val="18"/>
        </w:rPr>
        <w:t>ision for Success Diversity, Equity, and Inclusion statement passed by the Board of Governors at its September 17, 2019 meeting.</w:t>
      </w:r>
      <w:r w:rsidRPr="008E764A">
        <w:rPr>
          <w:color w:val="574C45"/>
          <w:sz w:val="18"/>
          <w:szCs w:val="18"/>
        </w:rPr>
        <w:t xml:space="preserve"> </w:t>
      </w:r>
      <w:hyperlink r:id="rId1">
        <w:r w:rsidRPr="008E764A">
          <w:rPr>
            <w:color w:val="574C45"/>
            <w:sz w:val="18"/>
            <w:szCs w:val="18"/>
          </w:rPr>
          <w:t xml:space="preserve"> </w:t>
        </w:r>
      </w:hyperlink>
      <w:hyperlink r:id="rId2">
        <w:r w:rsidRPr="008E764A">
          <w:rPr>
            <w:color w:val="1155CC"/>
            <w:sz w:val="18"/>
            <w:szCs w:val="18"/>
            <w:highlight w:val="white"/>
            <w:u w:val="single"/>
          </w:rPr>
          <w:t>https://www.cccco.edu/-/media/CCCCO-Website/Files/BOG/2019/bog-agenda-09-16-17-2019.ashx?la=en&amp;hash=7D1FC0B7B1D994735C9EEF66F407D82D86AE1625</w:t>
        </w:r>
      </w:hyperlink>
    </w:p>
  </w:footnote>
  <w:footnote w:id="4">
    <w:p w14:paraId="4CCDE4F3" w14:textId="3F61CA6F" w:rsidR="00A00169" w:rsidRPr="008E764A" w:rsidRDefault="00A00169" w:rsidP="00A00169">
      <w:pPr>
        <w:spacing w:before="240" w:after="240"/>
        <w:rPr>
          <w:color w:val="1155CC"/>
          <w:sz w:val="18"/>
          <w:szCs w:val="18"/>
          <w:u w:val="single"/>
        </w:rPr>
      </w:pPr>
      <w:r w:rsidRPr="008E764A">
        <w:rPr>
          <w:rStyle w:val="FootnoteReference"/>
          <w:sz w:val="18"/>
          <w:szCs w:val="18"/>
        </w:rPr>
        <w:footnoteRef/>
      </w:r>
      <w:r w:rsidRPr="008E764A">
        <w:rPr>
          <w:sz w:val="18"/>
          <w:szCs w:val="18"/>
        </w:rPr>
        <w:t xml:space="preserve"> Cultural humility is a lifelong commitment to self-evaluation and self-critique, redressing the power imbalances in the student-teacher dynamic, developing mutually beneficial partnerships with communities on behalf of individuals and defined populations. Source: Tervalon M, Murray-Garcia J: “Cultural humility versus cultural competence: a critical distinction in defining physician training outcomes in multicultural education, “Journal of Health Care for the Poor and Underserved 1998; 9(2):117-124. Retrieved from</w:t>
      </w:r>
      <w:hyperlink r:id="rId3">
        <w:r w:rsidRPr="008E764A">
          <w:rPr>
            <w:sz w:val="18"/>
            <w:szCs w:val="18"/>
          </w:rPr>
          <w:t xml:space="preserve"> </w:t>
        </w:r>
      </w:hyperlink>
      <w:hyperlink r:id="rId4">
        <w:r w:rsidRPr="008E764A">
          <w:rPr>
            <w:color w:val="1155CC"/>
            <w:sz w:val="18"/>
            <w:szCs w:val="18"/>
            <w:u w:val="single"/>
          </w:rPr>
          <w:t>https://melanietervalon.com/wp-content/uploads/2013/08/CulturalHumility_Tervalon-and-Murray-Garcia-Article.pdf</w:t>
        </w:r>
      </w:hyperlink>
    </w:p>
  </w:footnote>
  <w:footnote w:id="5">
    <w:p w14:paraId="4BFB7669" w14:textId="106C2B49" w:rsidR="00A00169" w:rsidRPr="008E764A" w:rsidRDefault="00A00169" w:rsidP="00A00169">
      <w:pPr>
        <w:spacing w:before="240" w:after="240"/>
        <w:rPr>
          <w:color w:val="1155CC"/>
          <w:sz w:val="18"/>
          <w:szCs w:val="18"/>
          <w:highlight w:val="white"/>
          <w:u w:val="single"/>
        </w:rPr>
      </w:pPr>
      <w:r w:rsidRPr="008E764A">
        <w:rPr>
          <w:rStyle w:val="FootnoteReference"/>
          <w:sz w:val="18"/>
          <w:szCs w:val="18"/>
        </w:rPr>
        <w:footnoteRef/>
      </w:r>
      <w:r w:rsidRPr="008E764A">
        <w:rPr>
          <w:sz w:val="18"/>
          <w:szCs w:val="18"/>
        </w:rPr>
        <w:t xml:space="preserve"> </w:t>
      </w:r>
      <w:r w:rsidRPr="008E764A">
        <w:rPr>
          <w:color w:val="282828"/>
          <w:sz w:val="18"/>
          <w:szCs w:val="18"/>
          <w:highlight w:val="white"/>
        </w:rPr>
        <w:t>Culturally responsive teaching recognizes the importance of including students' cultural references in all aspects of learning, enriching classroom experiences, and keeping students engaged. Retrieved from</w:t>
      </w:r>
      <w:hyperlink r:id="rId5">
        <w:r w:rsidRPr="008E764A">
          <w:rPr>
            <w:color w:val="282828"/>
            <w:sz w:val="18"/>
            <w:szCs w:val="18"/>
            <w:highlight w:val="white"/>
          </w:rPr>
          <w:t xml:space="preserve"> </w:t>
        </w:r>
      </w:hyperlink>
      <w:hyperlink r:id="rId6">
        <w:r w:rsidRPr="008E764A">
          <w:rPr>
            <w:color w:val="1155CC"/>
            <w:sz w:val="18"/>
            <w:szCs w:val="18"/>
            <w:highlight w:val="white"/>
            <w:u w:val="single"/>
          </w:rPr>
          <w:t>https://www.tolerance.org/professional-development/being-culturally-responsive</w:t>
        </w:r>
      </w:hyperlink>
    </w:p>
  </w:footnote>
  <w:footnote w:id="6">
    <w:p w14:paraId="01E7C886" w14:textId="6B43504B" w:rsidR="00A00169" w:rsidRDefault="00A00169">
      <w:pPr>
        <w:pStyle w:val="FootnoteText"/>
      </w:pPr>
      <w:r w:rsidRPr="008E764A">
        <w:rPr>
          <w:rStyle w:val="FootnoteReference"/>
          <w:sz w:val="18"/>
          <w:szCs w:val="18"/>
        </w:rPr>
        <w:footnoteRef/>
      </w:r>
      <w:r w:rsidRPr="008E764A">
        <w:rPr>
          <w:sz w:val="18"/>
          <w:szCs w:val="18"/>
        </w:rPr>
        <w:t xml:space="preserve"> </w:t>
      </w:r>
      <w:r w:rsidRPr="008E764A">
        <w:rPr>
          <w:color w:val="111111"/>
          <w:sz w:val="18"/>
          <w:szCs w:val="18"/>
          <w:highlight w:val="white"/>
        </w:rPr>
        <w:t>Equity-mindedness refers to the perspective or mode of thinking exhibited by practitioners who call attention to patterns of inequity in student outcomes.</w:t>
      </w:r>
      <w:r w:rsidRPr="008E764A">
        <w:rPr>
          <w:sz w:val="18"/>
          <w:szCs w:val="18"/>
        </w:rPr>
        <w:t xml:space="preserve"> Retrieved from</w:t>
      </w:r>
      <w:hyperlink r:id="rId7">
        <w:r w:rsidRPr="008E764A">
          <w:rPr>
            <w:sz w:val="18"/>
            <w:szCs w:val="18"/>
          </w:rPr>
          <w:t xml:space="preserve"> </w:t>
        </w:r>
      </w:hyperlink>
      <w:hyperlink r:id="rId8">
        <w:r w:rsidRPr="008E764A">
          <w:rPr>
            <w:color w:val="1155CC"/>
            <w:sz w:val="18"/>
            <w:szCs w:val="18"/>
            <w:u w:val="single"/>
          </w:rPr>
          <w:t>https://cue.usc.edu/about/equity/equity-mindedness/</w:t>
        </w:r>
      </w:hyperlink>
    </w:p>
  </w:footnote>
  <w:footnote w:id="7">
    <w:p w14:paraId="3BF6D1F0" w14:textId="30954190" w:rsidR="006616DB" w:rsidRDefault="006616DB">
      <w:pPr>
        <w:pStyle w:val="FootnoteText"/>
      </w:pPr>
      <w:r>
        <w:rPr>
          <w:rStyle w:val="FootnoteReference"/>
        </w:rPr>
        <w:footnoteRef/>
      </w:r>
      <w:r>
        <w:t xml:space="preserve"> </w:t>
      </w:r>
      <w:r>
        <w:rPr>
          <w:color w:val="574C45"/>
          <w:sz w:val="18"/>
          <w:szCs w:val="18"/>
        </w:rPr>
        <w:t xml:space="preserve">Fairlie, R., et al. (2014) “A Community College Instructor Like Me: Race and Ethnicity Interactions in the Classroom.” </w:t>
      </w:r>
      <w:r w:rsidRPr="006616DB">
        <w:rPr>
          <w:i/>
          <w:color w:val="574C45"/>
          <w:sz w:val="18"/>
          <w:szCs w:val="18"/>
        </w:rPr>
        <w:t>The American Economic Review</w:t>
      </w:r>
      <w:r>
        <w:rPr>
          <w:color w:val="574C45"/>
          <w:sz w:val="18"/>
          <w:szCs w:val="18"/>
        </w:rPr>
        <w:t>. V. 104, n. 8, pp. 2567-2591.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B648C" w14:textId="3A7FE417" w:rsidR="00DE3912" w:rsidRDefault="00DE39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7087" w14:textId="575E1D6C" w:rsidR="00DE3912" w:rsidRDefault="00DE39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8F351" w14:textId="0EFDD277" w:rsidR="00DE3912" w:rsidRDefault="00DE391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A341A" w14:textId="7BA1702C" w:rsidR="00DE3912" w:rsidRDefault="00DE391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2EB3" w14:textId="7B595512" w:rsidR="00DE3912" w:rsidRDefault="00DE391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9E73" w14:textId="509B949F" w:rsidR="00DE3912" w:rsidRDefault="00DE39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1387"/>
    <w:multiLevelType w:val="hybridMultilevel"/>
    <w:tmpl w:val="8A9858A2"/>
    <w:lvl w:ilvl="0" w:tplc="D01AF9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D4A4F"/>
    <w:multiLevelType w:val="hybridMultilevel"/>
    <w:tmpl w:val="FE5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B4C13"/>
    <w:multiLevelType w:val="multilevel"/>
    <w:tmpl w:val="00202E92"/>
    <w:lvl w:ilvl="0">
      <w:start w:val="1"/>
      <w:numFmt w:val="decimal"/>
      <w:lvlText w:val="%1."/>
      <w:lvlJc w:val="left"/>
      <w:pPr>
        <w:tabs>
          <w:tab w:val="num" w:pos="810"/>
        </w:tabs>
        <w:ind w:left="810" w:hanging="360"/>
      </w:pPr>
    </w:lvl>
    <w:lvl w:ilvl="1">
      <w:start w:val="1"/>
      <w:numFmt w:val="lowerLetter"/>
      <w:lvlText w:val="%2."/>
      <w:lvlJc w:val="left"/>
      <w:pPr>
        <w:tabs>
          <w:tab w:val="num" w:pos="1530"/>
        </w:tabs>
        <w:ind w:left="1530" w:hanging="360"/>
      </w:pPr>
      <w:rPr>
        <w:u w:val="single"/>
      </w:rPr>
    </w:lvl>
    <w:lvl w:ilvl="2">
      <w:start w:val="1"/>
      <w:numFmt w:val="decimal"/>
      <w:lvlText w:val="%3."/>
      <w:lvlJc w:val="left"/>
      <w:pPr>
        <w:tabs>
          <w:tab w:val="num" w:pos="2250"/>
        </w:tabs>
        <w:ind w:left="2250" w:hanging="360"/>
      </w:pPr>
    </w:lvl>
    <w:lvl w:ilvl="3">
      <w:start w:val="3"/>
      <w:numFmt w:val="upperLetter"/>
      <w:lvlText w:val="%4."/>
      <w:lvlJc w:val="left"/>
      <w:pPr>
        <w:ind w:left="2970" w:hanging="360"/>
      </w:pPr>
      <w:rPr>
        <w:rFonts w:hint="default"/>
      </w:r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nsid w:val="086242B6"/>
    <w:multiLevelType w:val="multilevel"/>
    <w:tmpl w:val="1D84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F02A08"/>
    <w:multiLevelType w:val="multilevel"/>
    <w:tmpl w:val="4F2A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D2971"/>
    <w:multiLevelType w:val="hybridMultilevel"/>
    <w:tmpl w:val="BFA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03B56"/>
    <w:multiLevelType w:val="multilevel"/>
    <w:tmpl w:val="446EA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E1123"/>
    <w:multiLevelType w:val="multilevel"/>
    <w:tmpl w:val="340059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1236F9F"/>
    <w:multiLevelType w:val="hybridMultilevel"/>
    <w:tmpl w:val="C7A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377A8"/>
    <w:multiLevelType w:val="multilevel"/>
    <w:tmpl w:val="7B3E8AA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nsid w:val="271B7200"/>
    <w:multiLevelType w:val="hybridMultilevel"/>
    <w:tmpl w:val="582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01A1D"/>
    <w:multiLevelType w:val="multilevel"/>
    <w:tmpl w:val="062E7E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3755C2E"/>
    <w:multiLevelType w:val="hybridMultilevel"/>
    <w:tmpl w:val="0AD87EA4"/>
    <w:lvl w:ilvl="0" w:tplc="7B0AC11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532E1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AF5195B"/>
    <w:multiLevelType w:val="multilevel"/>
    <w:tmpl w:val="EE189496"/>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15177F"/>
    <w:multiLevelType w:val="multilevel"/>
    <w:tmpl w:val="1A326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F0F7008"/>
    <w:multiLevelType w:val="multilevel"/>
    <w:tmpl w:val="40C085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700422"/>
    <w:multiLevelType w:val="multilevel"/>
    <w:tmpl w:val="5EEE5A8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AF57034"/>
    <w:multiLevelType w:val="multilevel"/>
    <w:tmpl w:val="971EEC0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3E05DF"/>
    <w:multiLevelType w:val="multilevel"/>
    <w:tmpl w:val="C306363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6B12FD"/>
    <w:multiLevelType w:val="hybridMultilevel"/>
    <w:tmpl w:val="0C4409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BD0C03"/>
    <w:multiLevelType w:val="multilevel"/>
    <w:tmpl w:val="FD3EE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8FA198C"/>
    <w:multiLevelType w:val="hybridMultilevel"/>
    <w:tmpl w:val="EDB252C8"/>
    <w:lvl w:ilvl="0" w:tplc="7AD4799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150869"/>
    <w:multiLevelType w:val="hybridMultilevel"/>
    <w:tmpl w:val="9F7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B4685"/>
    <w:multiLevelType w:val="hybridMultilevel"/>
    <w:tmpl w:val="6CBCCAC0"/>
    <w:lvl w:ilvl="0" w:tplc="E20A507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6DA47DD4"/>
    <w:multiLevelType w:val="hybridMultilevel"/>
    <w:tmpl w:val="8584B81C"/>
    <w:lvl w:ilvl="0" w:tplc="5464D9FE">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838C4"/>
    <w:multiLevelType w:val="hybridMultilevel"/>
    <w:tmpl w:val="0F46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DB4D8E"/>
    <w:multiLevelType w:val="multilevel"/>
    <w:tmpl w:val="3000C632"/>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B002ED"/>
    <w:multiLevelType w:val="multilevel"/>
    <w:tmpl w:val="08364A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BEA0B7F"/>
    <w:multiLevelType w:val="multilevel"/>
    <w:tmpl w:val="6958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835722"/>
    <w:multiLevelType w:val="multilevel"/>
    <w:tmpl w:val="E09EC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1"/>
  </w:num>
  <w:num w:numId="3">
    <w:abstractNumId w:val="28"/>
  </w:num>
  <w:num w:numId="4">
    <w:abstractNumId w:val="18"/>
  </w:num>
  <w:num w:numId="5">
    <w:abstractNumId w:val="19"/>
  </w:num>
  <w:num w:numId="6">
    <w:abstractNumId w:val="14"/>
  </w:num>
  <w:num w:numId="7">
    <w:abstractNumId w:val="8"/>
  </w:num>
  <w:num w:numId="8">
    <w:abstractNumId w:val="5"/>
  </w:num>
  <w:num w:numId="9">
    <w:abstractNumId w:val="10"/>
  </w:num>
  <w:num w:numId="10">
    <w:abstractNumId w:val="16"/>
  </w:num>
  <w:num w:numId="11">
    <w:abstractNumId w:val="21"/>
  </w:num>
  <w:num w:numId="12">
    <w:abstractNumId w:val="30"/>
  </w:num>
  <w:num w:numId="13">
    <w:abstractNumId w:val="9"/>
  </w:num>
  <w:num w:numId="14">
    <w:abstractNumId w:val="15"/>
  </w:num>
  <w:num w:numId="15">
    <w:abstractNumId w:val="7"/>
  </w:num>
  <w:num w:numId="16">
    <w:abstractNumId w:val="4"/>
  </w:num>
  <w:num w:numId="17">
    <w:abstractNumId w:val="3"/>
  </w:num>
  <w:num w:numId="18">
    <w:abstractNumId w:val="11"/>
  </w:num>
  <w:num w:numId="19">
    <w:abstractNumId w:val="29"/>
  </w:num>
  <w:num w:numId="20">
    <w:abstractNumId w:val="12"/>
  </w:num>
  <w:num w:numId="21">
    <w:abstractNumId w:val="2"/>
  </w:num>
  <w:num w:numId="22">
    <w:abstractNumId w:val="20"/>
  </w:num>
  <w:num w:numId="23">
    <w:abstractNumId w:val="6"/>
  </w:num>
  <w:num w:numId="24">
    <w:abstractNumId w:val="24"/>
  </w:num>
  <w:num w:numId="25">
    <w:abstractNumId w:val="17"/>
  </w:num>
  <w:num w:numId="26">
    <w:abstractNumId w:val="13"/>
  </w:num>
  <w:num w:numId="27">
    <w:abstractNumId w:val="0"/>
  </w:num>
  <w:num w:numId="28">
    <w:abstractNumId w:val="22"/>
  </w:num>
  <w:num w:numId="29">
    <w:abstractNumId w:val="25"/>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B9"/>
    <w:rsid w:val="00000733"/>
    <w:rsid w:val="00000F86"/>
    <w:rsid w:val="000139BC"/>
    <w:rsid w:val="00021769"/>
    <w:rsid w:val="00026F62"/>
    <w:rsid w:val="00030427"/>
    <w:rsid w:val="00032752"/>
    <w:rsid w:val="00033005"/>
    <w:rsid w:val="00036EAD"/>
    <w:rsid w:val="0004272F"/>
    <w:rsid w:val="000442DB"/>
    <w:rsid w:val="00051768"/>
    <w:rsid w:val="00061624"/>
    <w:rsid w:val="000634C6"/>
    <w:rsid w:val="000658F8"/>
    <w:rsid w:val="00080FEB"/>
    <w:rsid w:val="0008109F"/>
    <w:rsid w:val="00081235"/>
    <w:rsid w:val="00082B9D"/>
    <w:rsid w:val="0008422E"/>
    <w:rsid w:val="00084983"/>
    <w:rsid w:val="00091CE0"/>
    <w:rsid w:val="00093A1F"/>
    <w:rsid w:val="00094ABF"/>
    <w:rsid w:val="00095E27"/>
    <w:rsid w:val="0009705F"/>
    <w:rsid w:val="000A3C8B"/>
    <w:rsid w:val="000A5B32"/>
    <w:rsid w:val="000A68FF"/>
    <w:rsid w:val="000A7201"/>
    <w:rsid w:val="000B35D1"/>
    <w:rsid w:val="000C632C"/>
    <w:rsid w:val="000C6C78"/>
    <w:rsid w:val="000C714B"/>
    <w:rsid w:val="000D124F"/>
    <w:rsid w:val="000D4F01"/>
    <w:rsid w:val="000E35CC"/>
    <w:rsid w:val="000E462A"/>
    <w:rsid w:val="000E6128"/>
    <w:rsid w:val="000F177E"/>
    <w:rsid w:val="000F5426"/>
    <w:rsid w:val="000F6548"/>
    <w:rsid w:val="000F7012"/>
    <w:rsid w:val="001257E6"/>
    <w:rsid w:val="00132111"/>
    <w:rsid w:val="00135FC2"/>
    <w:rsid w:val="00145C24"/>
    <w:rsid w:val="0014625B"/>
    <w:rsid w:val="0014779B"/>
    <w:rsid w:val="00156409"/>
    <w:rsid w:val="00156D4D"/>
    <w:rsid w:val="0016169B"/>
    <w:rsid w:val="00165D49"/>
    <w:rsid w:val="00173C50"/>
    <w:rsid w:val="0017581F"/>
    <w:rsid w:val="00175D45"/>
    <w:rsid w:val="001769CF"/>
    <w:rsid w:val="00184FE5"/>
    <w:rsid w:val="0019357F"/>
    <w:rsid w:val="0019366F"/>
    <w:rsid w:val="00195274"/>
    <w:rsid w:val="00195597"/>
    <w:rsid w:val="001A1666"/>
    <w:rsid w:val="001A1FED"/>
    <w:rsid w:val="001C14CC"/>
    <w:rsid w:val="001D59E3"/>
    <w:rsid w:val="001D6936"/>
    <w:rsid w:val="001E055D"/>
    <w:rsid w:val="001F19DE"/>
    <w:rsid w:val="001F2887"/>
    <w:rsid w:val="001F2B8C"/>
    <w:rsid w:val="001F3C24"/>
    <w:rsid w:val="001F3F89"/>
    <w:rsid w:val="00200260"/>
    <w:rsid w:val="002047E3"/>
    <w:rsid w:val="00210899"/>
    <w:rsid w:val="00210AE7"/>
    <w:rsid w:val="00213370"/>
    <w:rsid w:val="00213DF9"/>
    <w:rsid w:val="002144F1"/>
    <w:rsid w:val="002163BA"/>
    <w:rsid w:val="00222EF1"/>
    <w:rsid w:val="00223023"/>
    <w:rsid w:val="002238F9"/>
    <w:rsid w:val="00223DA9"/>
    <w:rsid w:val="00226E34"/>
    <w:rsid w:val="00240EEA"/>
    <w:rsid w:val="00242416"/>
    <w:rsid w:val="002431FD"/>
    <w:rsid w:val="00243892"/>
    <w:rsid w:val="002460F1"/>
    <w:rsid w:val="002515DF"/>
    <w:rsid w:val="0025203D"/>
    <w:rsid w:val="0025288E"/>
    <w:rsid w:val="00261264"/>
    <w:rsid w:val="002714B5"/>
    <w:rsid w:val="0027334B"/>
    <w:rsid w:val="0027338A"/>
    <w:rsid w:val="00291632"/>
    <w:rsid w:val="00292659"/>
    <w:rsid w:val="00296FA9"/>
    <w:rsid w:val="002A500D"/>
    <w:rsid w:val="002A5BF0"/>
    <w:rsid w:val="002A6933"/>
    <w:rsid w:val="002B0011"/>
    <w:rsid w:val="002B1882"/>
    <w:rsid w:val="002C0628"/>
    <w:rsid w:val="002C59D4"/>
    <w:rsid w:val="002C71CB"/>
    <w:rsid w:val="002D63BC"/>
    <w:rsid w:val="002D7123"/>
    <w:rsid w:val="002E31B2"/>
    <w:rsid w:val="002E5BB6"/>
    <w:rsid w:val="002E7A9F"/>
    <w:rsid w:val="002F056B"/>
    <w:rsid w:val="002F4C5B"/>
    <w:rsid w:val="00300EB2"/>
    <w:rsid w:val="00310E5A"/>
    <w:rsid w:val="0031339A"/>
    <w:rsid w:val="0031451C"/>
    <w:rsid w:val="00314CBA"/>
    <w:rsid w:val="003168A5"/>
    <w:rsid w:val="003202DB"/>
    <w:rsid w:val="0032514D"/>
    <w:rsid w:val="00335109"/>
    <w:rsid w:val="003353BC"/>
    <w:rsid w:val="00342A06"/>
    <w:rsid w:val="003445A6"/>
    <w:rsid w:val="0034679E"/>
    <w:rsid w:val="00355E90"/>
    <w:rsid w:val="003563D8"/>
    <w:rsid w:val="00356816"/>
    <w:rsid w:val="0035759A"/>
    <w:rsid w:val="00362114"/>
    <w:rsid w:val="00365C22"/>
    <w:rsid w:val="0037139B"/>
    <w:rsid w:val="00371A76"/>
    <w:rsid w:val="00376280"/>
    <w:rsid w:val="00376DF3"/>
    <w:rsid w:val="00381988"/>
    <w:rsid w:val="00382BCD"/>
    <w:rsid w:val="00387A7E"/>
    <w:rsid w:val="00387D99"/>
    <w:rsid w:val="0039008A"/>
    <w:rsid w:val="00394BA0"/>
    <w:rsid w:val="003A1D59"/>
    <w:rsid w:val="003B0E36"/>
    <w:rsid w:val="003B11B7"/>
    <w:rsid w:val="003C287E"/>
    <w:rsid w:val="003C28EA"/>
    <w:rsid w:val="003C4253"/>
    <w:rsid w:val="003C4AC1"/>
    <w:rsid w:val="003C564C"/>
    <w:rsid w:val="003C6240"/>
    <w:rsid w:val="003D3BCF"/>
    <w:rsid w:val="003E2F89"/>
    <w:rsid w:val="003E3690"/>
    <w:rsid w:val="003E3BF4"/>
    <w:rsid w:val="003E3F68"/>
    <w:rsid w:val="003E75FB"/>
    <w:rsid w:val="003F30FB"/>
    <w:rsid w:val="003F57B8"/>
    <w:rsid w:val="003F654F"/>
    <w:rsid w:val="00412A3C"/>
    <w:rsid w:val="004131B9"/>
    <w:rsid w:val="00414175"/>
    <w:rsid w:val="00414F6B"/>
    <w:rsid w:val="00422F5D"/>
    <w:rsid w:val="004301D6"/>
    <w:rsid w:val="0043141D"/>
    <w:rsid w:val="004348BB"/>
    <w:rsid w:val="004401DF"/>
    <w:rsid w:val="00440878"/>
    <w:rsid w:val="004471AC"/>
    <w:rsid w:val="004500FF"/>
    <w:rsid w:val="00462E74"/>
    <w:rsid w:val="004637EA"/>
    <w:rsid w:val="00466D20"/>
    <w:rsid w:val="0047199E"/>
    <w:rsid w:val="0048201C"/>
    <w:rsid w:val="004858CC"/>
    <w:rsid w:val="0048702D"/>
    <w:rsid w:val="00487408"/>
    <w:rsid w:val="00493ED1"/>
    <w:rsid w:val="004A147D"/>
    <w:rsid w:val="004B68E9"/>
    <w:rsid w:val="004C24A6"/>
    <w:rsid w:val="004C284C"/>
    <w:rsid w:val="004C6E05"/>
    <w:rsid w:val="004C7725"/>
    <w:rsid w:val="004C7EAC"/>
    <w:rsid w:val="004E3986"/>
    <w:rsid w:val="004E4EB7"/>
    <w:rsid w:val="004E7168"/>
    <w:rsid w:val="004F0356"/>
    <w:rsid w:val="004F41AC"/>
    <w:rsid w:val="004F4418"/>
    <w:rsid w:val="004F7597"/>
    <w:rsid w:val="005023AA"/>
    <w:rsid w:val="005062B3"/>
    <w:rsid w:val="0050719E"/>
    <w:rsid w:val="00507820"/>
    <w:rsid w:val="00507FB9"/>
    <w:rsid w:val="005114BE"/>
    <w:rsid w:val="00513D83"/>
    <w:rsid w:val="00517493"/>
    <w:rsid w:val="00524207"/>
    <w:rsid w:val="00524586"/>
    <w:rsid w:val="00525F8E"/>
    <w:rsid w:val="00532FD5"/>
    <w:rsid w:val="00542072"/>
    <w:rsid w:val="0054409D"/>
    <w:rsid w:val="0054442B"/>
    <w:rsid w:val="005515FA"/>
    <w:rsid w:val="00551711"/>
    <w:rsid w:val="00551DF7"/>
    <w:rsid w:val="00553A7E"/>
    <w:rsid w:val="00553F22"/>
    <w:rsid w:val="00556B3B"/>
    <w:rsid w:val="0056000C"/>
    <w:rsid w:val="00560D8E"/>
    <w:rsid w:val="005638FB"/>
    <w:rsid w:val="00567625"/>
    <w:rsid w:val="00570AF6"/>
    <w:rsid w:val="00572DD3"/>
    <w:rsid w:val="00576043"/>
    <w:rsid w:val="005766EE"/>
    <w:rsid w:val="00580EC5"/>
    <w:rsid w:val="0058621C"/>
    <w:rsid w:val="005870F1"/>
    <w:rsid w:val="005872E0"/>
    <w:rsid w:val="00587AC3"/>
    <w:rsid w:val="00592234"/>
    <w:rsid w:val="005A21E4"/>
    <w:rsid w:val="005A4137"/>
    <w:rsid w:val="005A68E4"/>
    <w:rsid w:val="005B2262"/>
    <w:rsid w:val="005B4DEB"/>
    <w:rsid w:val="005C09ED"/>
    <w:rsid w:val="005C2614"/>
    <w:rsid w:val="005C332D"/>
    <w:rsid w:val="005C5CCF"/>
    <w:rsid w:val="005D634D"/>
    <w:rsid w:val="005E07C5"/>
    <w:rsid w:val="005F1D7F"/>
    <w:rsid w:val="00600386"/>
    <w:rsid w:val="00600641"/>
    <w:rsid w:val="00603BD4"/>
    <w:rsid w:val="00606463"/>
    <w:rsid w:val="00606542"/>
    <w:rsid w:val="00610EB3"/>
    <w:rsid w:val="0061288E"/>
    <w:rsid w:val="006132F5"/>
    <w:rsid w:val="00613F75"/>
    <w:rsid w:val="00615840"/>
    <w:rsid w:val="00617832"/>
    <w:rsid w:val="0062484F"/>
    <w:rsid w:val="00634F84"/>
    <w:rsid w:val="00635C52"/>
    <w:rsid w:val="00635D0D"/>
    <w:rsid w:val="00635F9F"/>
    <w:rsid w:val="0065059E"/>
    <w:rsid w:val="00651131"/>
    <w:rsid w:val="00652F2F"/>
    <w:rsid w:val="00653E21"/>
    <w:rsid w:val="00655577"/>
    <w:rsid w:val="006616DB"/>
    <w:rsid w:val="006644D8"/>
    <w:rsid w:val="00666738"/>
    <w:rsid w:val="006737CD"/>
    <w:rsid w:val="00673AC8"/>
    <w:rsid w:val="00676D3D"/>
    <w:rsid w:val="006853B3"/>
    <w:rsid w:val="00686C62"/>
    <w:rsid w:val="006872C5"/>
    <w:rsid w:val="00692069"/>
    <w:rsid w:val="006928FC"/>
    <w:rsid w:val="006938BC"/>
    <w:rsid w:val="006939AF"/>
    <w:rsid w:val="006A352E"/>
    <w:rsid w:val="006A621D"/>
    <w:rsid w:val="006B1545"/>
    <w:rsid w:val="006C5ABC"/>
    <w:rsid w:val="006C67E9"/>
    <w:rsid w:val="006C7EC2"/>
    <w:rsid w:val="006D2D00"/>
    <w:rsid w:val="006E113B"/>
    <w:rsid w:val="006E6AEB"/>
    <w:rsid w:val="006F1900"/>
    <w:rsid w:val="006F3334"/>
    <w:rsid w:val="006F76B6"/>
    <w:rsid w:val="00702C47"/>
    <w:rsid w:val="00705433"/>
    <w:rsid w:val="0071329B"/>
    <w:rsid w:val="00714492"/>
    <w:rsid w:val="00716BC5"/>
    <w:rsid w:val="00722595"/>
    <w:rsid w:val="00724041"/>
    <w:rsid w:val="00725607"/>
    <w:rsid w:val="00725ED6"/>
    <w:rsid w:val="0073073B"/>
    <w:rsid w:val="007315B5"/>
    <w:rsid w:val="00741C6E"/>
    <w:rsid w:val="007463DD"/>
    <w:rsid w:val="00746528"/>
    <w:rsid w:val="00746773"/>
    <w:rsid w:val="00750334"/>
    <w:rsid w:val="00750BD0"/>
    <w:rsid w:val="00760273"/>
    <w:rsid w:val="00762364"/>
    <w:rsid w:val="00773158"/>
    <w:rsid w:val="0077475A"/>
    <w:rsid w:val="00777876"/>
    <w:rsid w:val="0078571B"/>
    <w:rsid w:val="00787F4E"/>
    <w:rsid w:val="00795763"/>
    <w:rsid w:val="007968C0"/>
    <w:rsid w:val="007A13FA"/>
    <w:rsid w:val="007A333E"/>
    <w:rsid w:val="007A591C"/>
    <w:rsid w:val="007B75D5"/>
    <w:rsid w:val="007C15B4"/>
    <w:rsid w:val="007C2214"/>
    <w:rsid w:val="007C603B"/>
    <w:rsid w:val="007C6898"/>
    <w:rsid w:val="007C753A"/>
    <w:rsid w:val="007D49B4"/>
    <w:rsid w:val="007D4F38"/>
    <w:rsid w:val="007E0A76"/>
    <w:rsid w:val="007E5B2F"/>
    <w:rsid w:val="007F08EB"/>
    <w:rsid w:val="007F418B"/>
    <w:rsid w:val="00804E83"/>
    <w:rsid w:val="0080637A"/>
    <w:rsid w:val="00811182"/>
    <w:rsid w:val="008128C9"/>
    <w:rsid w:val="008128FC"/>
    <w:rsid w:val="00815284"/>
    <w:rsid w:val="00817D16"/>
    <w:rsid w:val="00822067"/>
    <w:rsid w:val="00823A7E"/>
    <w:rsid w:val="00823E16"/>
    <w:rsid w:val="0082558C"/>
    <w:rsid w:val="00825A70"/>
    <w:rsid w:val="00825F6D"/>
    <w:rsid w:val="00830CC5"/>
    <w:rsid w:val="00831C78"/>
    <w:rsid w:val="00836F02"/>
    <w:rsid w:val="008434BB"/>
    <w:rsid w:val="00844D4C"/>
    <w:rsid w:val="0084743B"/>
    <w:rsid w:val="00847B05"/>
    <w:rsid w:val="00847C3C"/>
    <w:rsid w:val="00850718"/>
    <w:rsid w:val="00854093"/>
    <w:rsid w:val="00860064"/>
    <w:rsid w:val="00860BC3"/>
    <w:rsid w:val="00871B21"/>
    <w:rsid w:val="00873E14"/>
    <w:rsid w:val="00877E84"/>
    <w:rsid w:val="00882423"/>
    <w:rsid w:val="0088494D"/>
    <w:rsid w:val="00893412"/>
    <w:rsid w:val="008960E6"/>
    <w:rsid w:val="008A0CD1"/>
    <w:rsid w:val="008A6887"/>
    <w:rsid w:val="008B1F74"/>
    <w:rsid w:val="008B2C8A"/>
    <w:rsid w:val="008C0636"/>
    <w:rsid w:val="008C17EA"/>
    <w:rsid w:val="008C2FD5"/>
    <w:rsid w:val="008C6FE3"/>
    <w:rsid w:val="008D2B78"/>
    <w:rsid w:val="008D5664"/>
    <w:rsid w:val="008D6F4F"/>
    <w:rsid w:val="008E0DFB"/>
    <w:rsid w:val="008E1497"/>
    <w:rsid w:val="008E764A"/>
    <w:rsid w:val="008F4078"/>
    <w:rsid w:val="00902B8F"/>
    <w:rsid w:val="009074BC"/>
    <w:rsid w:val="00912D81"/>
    <w:rsid w:val="00917D9C"/>
    <w:rsid w:val="00920571"/>
    <w:rsid w:val="00920C56"/>
    <w:rsid w:val="009239D9"/>
    <w:rsid w:val="009314C4"/>
    <w:rsid w:val="00933B3F"/>
    <w:rsid w:val="00940775"/>
    <w:rsid w:val="009416B7"/>
    <w:rsid w:val="009456A0"/>
    <w:rsid w:val="00947431"/>
    <w:rsid w:val="00950CDD"/>
    <w:rsid w:val="00951FCB"/>
    <w:rsid w:val="00952C08"/>
    <w:rsid w:val="0095339A"/>
    <w:rsid w:val="00964311"/>
    <w:rsid w:val="009643D9"/>
    <w:rsid w:val="00964D40"/>
    <w:rsid w:val="009726EA"/>
    <w:rsid w:val="00972E9B"/>
    <w:rsid w:val="00977CFA"/>
    <w:rsid w:val="0099506C"/>
    <w:rsid w:val="00995B77"/>
    <w:rsid w:val="009A3AFC"/>
    <w:rsid w:val="009A74FF"/>
    <w:rsid w:val="009B257F"/>
    <w:rsid w:val="009B6A12"/>
    <w:rsid w:val="009C11F8"/>
    <w:rsid w:val="009D17B9"/>
    <w:rsid w:val="009D3982"/>
    <w:rsid w:val="009F688E"/>
    <w:rsid w:val="009F7C7B"/>
    <w:rsid w:val="00A00169"/>
    <w:rsid w:val="00A03BD4"/>
    <w:rsid w:val="00A03E70"/>
    <w:rsid w:val="00A05DE9"/>
    <w:rsid w:val="00A10145"/>
    <w:rsid w:val="00A10F6D"/>
    <w:rsid w:val="00A20B6E"/>
    <w:rsid w:val="00A21F19"/>
    <w:rsid w:val="00A2635F"/>
    <w:rsid w:val="00A329D8"/>
    <w:rsid w:val="00A3360B"/>
    <w:rsid w:val="00A474B1"/>
    <w:rsid w:val="00A531FB"/>
    <w:rsid w:val="00A53F88"/>
    <w:rsid w:val="00A559E9"/>
    <w:rsid w:val="00A55CE0"/>
    <w:rsid w:val="00A67F28"/>
    <w:rsid w:val="00A7338F"/>
    <w:rsid w:val="00A74D76"/>
    <w:rsid w:val="00A77766"/>
    <w:rsid w:val="00A82B0F"/>
    <w:rsid w:val="00A830EA"/>
    <w:rsid w:val="00A85E00"/>
    <w:rsid w:val="00AA7175"/>
    <w:rsid w:val="00AB2548"/>
    <w:rsid w:val="00AC047B"/>
    <w:rsid w:val="00AC1906"/>
    <w:rsid w:val="00AC277D"/>
    <w:rsid w:val="00AC3C4F"/>
    <w:rsid w:val="00AC4753"/>
    <w:rsid w:val="00AD0B86"/>
    <w:rsid w:val="00AD0BB5"/>
    <w:rsid w:val="00AD266E"/>
    <w:rsid w:val="00AD32AE"/>
    <w:rsid w:val="00AD4AF5"/>
    <w:rsid w:val="00AD4D41"/>
    <w:rsid w:val="00AD6828"/>
    <w:rsid w:val="00AE2C94"/>
    <w:rsid w:val="00AE2D2B"/>
    <w:rsid w:val="00AE49A9"/>
    <w:rsid w:val="00AE6D29"/>
    <w:rsid w:val="00AF1E36"/>
    <w:rsid w:val="00AF2F59"/>
    <w:rsid w:val="00B03F7D"/>
    <w:rsid w:val="00B1053B"/>
    <w:rsid w:val="00B1160D"/>
    <w:rsid w:val="00B119E7"/>
    <w:rsid w:val="00B1318F"/>
    <w:rsid w:val="00B13629"/>
    <w:rsid w:val="00B22421"/>
    <w:rsid w:val="00B30956"/>
    <w:rsid w:val="00B30A57"/>
    <w:rsid w:val="00B33244"/>
    <w:rsid w:val="00B40EEA"/>
    <w:rsid w:val="00B43BA0"/>
    <w:rsid w:val="00B4658B"/>
    <w:rsid w:val="00B60F0D"/>
    <w:rsid w:val="00B66958"/>
    <w:rsid w:val="00B67AA8"/>
    <w:rsid w:val="00B73C08"/>
    <w:rsid w:val="00B77585"/>
    <w:rsid w:val="00B77ECB"/>
    <w:rsid w:val="00B80348"/>
    <w:rsid w:val="00B8385E"/>
    <w:rsid w:val="00B863C2"/>
    <w:rsid w:val="00B87771"/>
    <w:rsid w:val="00B9349C"/>
    <w:rsid w:val="00BA5A75"/>
    <w:rsid w:val="00BA730C"/>
    <w:rsid w:val="00BB0A7A"/>
    <w:rsid w:val="00BC38C3"/>
    <w:rsid w:val="00BC52B6"/>
    <w:rsid w:val="00BD25C5"/>
    <w:rsid w:val="00BD7CC9"/>
    <w:rsid w:val="00BE0594"/>
    <w:rsid w:val="00BE2A72"/>
    <w:rsid w:val="00BE6B71"/>
    <w:rsid w:val="00BF053C"/>
    <w:rsid w:val="00BF12BC"/>
    <w:rsid w:val="00BF4F80"/>
    <w:rsid w:val="00C01D56"/>
    <w:rsid w:val="00C06725"/>
    <w:rsid w:val="00C07904"/>
    <w:rsid w:val="00C113F8"/>
    <w:rsid w:val="00C135DE"/>
    <w:rsid w:val="00C23000"/>
    <w:rsid w:val="00C23A2D"/>
    <w:rsid w:val="00C30F17"/>
    <w:rsid w:val="00C35B48"/>
    <w:rsid w:val="00C403F1"/>
    <w:rsid w:val="00C40C0F"/>
    <w:rsid w:val="00C456EF"/>
    <w:rsid w:val="00C45E2D"/>
    <w:rsid w:val="00C50BBE"/>
    <w:rsid w:val="00C54E2D"/>
    <w:rsid w:val="00C674DA"/>
    <w:rsid w:val="00C731DF"/>
    <w:rsid w:val="00C7712C"/>
    <w:rsid w:val="00C77583"/>
    <w:rsid w:val="00C8198A"/>
    <w:rsid w:val="00C86D84"/>
    <w:rsid w:val="00C87AFB"/>
    <w:rsid w:val="00C92345"/>
    <w:rsid w:val="00C926F3"/>
    <w:rsid w:val="00C92A68"/>
    <w:rsid w:val="00C92C05"/>
    <w:rsid w:val="00C93854"/>
    <w:rsid w:val="00CA0021"/>
    <w:rsid w:val="00CA0225"/>
    <w:rsid w:val="00CA4223"/>
    <w:rsid w:val="00CA42BF"/>
    <w:rsid w:val="00CA4681"/>
    <w:rsid w:val="00CA7F80"/>
    <w:rsid w:val="00CC2403"/>
    <w:rsid w:val="00CC432A"/>
    <w:rsid w:val="00CC4841"/>
    <w:rsid w:val="00CC4871"/>
    <w:rsid w:val="00CC51B0"/>
    <w:rsid w:val="00CC5C23"/>
    <w:rsid w:val="00CD3897"/>
    <w:rsid w:val="00CD4C64"/>
    <w:rsid w:val="00CD5AA3"/>
    <w:rsid w:val="00CD66D5"/>
    <w:rsid w:val="00CD752B"/>
    <w:rsid w:val="00CE2E6E"/>
    <w:rsid w:val="00CE6A91"/>
    <w:rsid w:val="00CE6FC1"/>
    <w:rsid w:val="00CF0794"/>
    <w:rsid w:val="00CF38B3"/>
    <w:rsid w:val="00CF3964"/>
    <w:rsid w:val="00CF7874"/>
    <w:rsid w:val="00CF7A84"/>
    <w:rsid w:val="00D05362"/>
    <w:rsid w:val="00D104D7"/>
    <w:rsid w:val="00D11AFB"/>
    <w:rsid w:val="00D14532"/>
    <w:rsid w:val="00D1460C"/>
    <w:rsid w:val="00D150DF"/>
    <w:rsid w:val="00D15962"/>
    <w:rsid w:val="00D16BD5"/>
    <w:rsid w:val="00D17138"/>
    <w:rsid w:val="00D20CAD"/>
    <w:rsid w:val="00D240CA"/>
    <w:rsid w:val="00D25512"/>
    <w:rsid w:val="00D275BF"/>
    <w:rsid w:val="00D33ED7"/>
    <w:rsid w:val="00D342E4"/>
    <w:rsid w:val="00D40931"/>
    <w:rsid w:val="00D50F69"/>
    <w:rsid w:val="00D51408"/>
    <w:rsid w:val="00D602C7"/>
    <w:rsid w:val="00D62280"/>
    <w:rsid w:val="00D703FF"/>
    <w:rsid w:val="00D74491"/>
    <w:rsid w:val="00D852D3"/>
    <w:rsid w:val="00D95475"/>
    <w:rsid w:val="00D96900"/>
    <w:rsid w:val="00D97724"/>
    <w:rsid w:val="00DA114A"/>
    <w:rsid w:val="00DA2035"/>
    <w:rsid w:val="00DA3342"/>
    <w:rsid w:val="00DB4236"/>
    <w:rsid w:val="00DC1BA2"/>
    <w:rsid w:val="00DC3124"/>
    <w:rsid w:val="00DC503E"/>
    <w:rsid w:val="00DC61E1"/>
    <w:rsid w:val="00DC7A19"/>
    <w:rsid w:val="00DD0A3C"/>
    <w:rsid w:val="00DD22D0"/>
    <w:rsid w:val="00DD4B42"/>
    <w:rsid w:val="00DE1206"/>
    <w:rsid w:val="00DE19CC"/>
    <w:rsid w:val="00DE2096"/>
    <w:rsid w:val="00DE2DB9"/>
    <w:rsid w:val="00DE301A"/>
    <w:rsid w:val="00DE32CA"/>
    <w:rsid w:val="00DE3912"/>
    <w:rsid w:val="00DE4725"/>
    <w:rsid w:val="00DE6DB6"/>
    <w:rsid w:val="00DF325D"/>
    <w:rsid w:val="00DF3BEE"/>
    <w:rsid w:val="00E06704"/>
    <w:rsid w:val="00E07F0C"/>
    <w:rsid w:val="00E13137"/>
    <w:rsid w:val="00E17832"/>
    <w:rsid w:val="00E20A1C"/>
    <w:rsid w:val="00E23CCC"/>
    <w:rsid w:val="00E307AF"/>
    <w:rsid w:val="00E37D2B"/>
    <w:rsid w:val="00E37FA8"/>
    <w:rsid w:val="00E46B27"/>
    <w:rsid w:val="00E470D2"/>
    <w:rsid w:val="00E47334"/>
    <w:rsid w:val="00E56281"/>
    <w:rsid w:val="00E5629C"/>
    <w:rsid w:val="00E56D72"/>
    <w:rsid w:val="00E6292D"/>
    <w:rsid w:val="00E63BF0"/>
    <w:rsid w:val="00E63D3B"/>
    <w:rsid w:val="00E71931"/>
    <w:rsid w:val="00E7275E"/>
    <w:rsid w:val="00E74D5A"/>
    <w:rsid w:val="00E77776"/>
    <w:rsid w:val="00E85956"/>
    <w:rsid w:val="00E92989"/>
    <w:rsid w:val="00E931DA"/>
    <w:rsid w:val="00E95516"/>
    <w:rsid w:val="00E95937"/>
    <w:rsid w:val="00EA1FE6"/>
    <w:rsid w:val="00EA5F33"/>
    <w:rsid w:val="00EC3928"/>
    <w:rsid w:val="00EC6F39"/>
    <w:rsid w:val="00ED13A8"/>
    <w:rsid w:val="00ED62A9"/>
    <w:rsid w:val="00EE1A2E"/>
    <w:rsid w:val="00EF0E57"/>
    <w:rsid w:val="00EF1534"/>
    <w:rsid w:val="00EF2258"/>
    <w:rsid w:val="00EF3156"/>
    <w:rsid w:val="00EF3ED8"/>
    <w:rsid w:val="00EF418E"/>
    <w:rsid w:val="00F01899"/>
    <w:rsid w:val="00F02632"/>
    <w:rsid w:val="00F05562"/>
    <w:rsid w:val="00F07A9C"/>
    <w:rsid w:val="00F1124E"/>
    <w:rsid w:val="00F1404C"/>
    <w:rsid w:val="00F15166"/>
    <w:rsid w:val="00F15A40"/>
    <w:rsid w:val="00F15E78"/>
    <w:rsid w:val="00F15EF1"/>
    <w:rsid w:val="00F22227"/>
    <w:rsid w:val="00F263D3"/>
    <w:rsid w:val="00F26776"/>
    <w:rsid w:val="00F32F99"/>
    <w:rsid w:val="00F41BBA"/>
    <w:rsid w:val="00F56B26"/>
    <w:rsid w:val="00F62ADC"/>
    <w:rsid w:val="00F65FA2"/>
    <w:rsid w:val="00F80298"/>
    <w:rsid w:val="00F80881"/>
    <w:rsid w:val="00F96AD0"/>
    <w:rsid w:val="00FA0F94"/>
    <w:rsid w:val="00FA27F1"/>
    <w:rsid w:val="00FA5C7E"/>
    <w:rsid w:val="00FB07A2"/>
    <w:rsid w:val="00FB2B6D"/>
    <w:rsid w:val="00FB5105"/>
    <w:rsid w:val="00FB54B0"/>
    <w:rsid w:val="00FB7DF8"/>
    <w:rsid w:val="00FC7B98"/>
    <w:rsid w:val="00FD18B3"/>
    <w:rsid w:val="00FD2169"/>
    <w:rsid w:val="00FD362D"/>
    <w:rsid w:val="00FD3B72"/>
    <w:rsid w:val="00FD3BCD"/>
    <w:rsid w:val="00FE2FCA"/>
    <w:rsid w:val="00FE5752"/>
    <w:rsid w:val="00FE643B"/>
    <w:rsid w:val="00FF3782"/>
    <w:rsid w:val="00FF455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9C9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03B"/>
    <w:rPr>
      <w:rFonts w:eastAsia="Times New Roman" w:cs="Times New Roman"/>
    </w:rPr>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22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rPr>
      <w:rFonts w:eastAsiaTheme="minorHAnsi" w:cstheme="minorBidi"/>
    </w:r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rFonts w:eastAsiaTheme="minorHAnsi" w:cstheme="minorBidi"/>
      <w:b/>
      <w:bCs/>
    </w:rPr>
  </w:style>
  <w:style w:type="paragraph" w:styleId="TOC2">
    <w:name w:val="toc 2"/>
    <w:basedOn w:val="Normal"/>
    <w:next w:val="Normal"/>
    <w:autoRedefine/>
    <w:uiPriority w:val="39"/>
    <w:unhideWhenUsed/>
    <w:rsid w:val="00F15E78"/>
    <w:pPr>
      <w:tabs>
        <w:tab w:val="left" w:pos="1200"/>
        <w:tab w:val="right" w:leader="dot" w:pos="8630"/>
      </w:tabs>
      <w:ind w:left="240"/>
    </w:pPr>
    <w:rPr>
      <w:rFonts w:eastAsiaTheme="minorHAnsi" w:cstheme="minorBidi"/>
      <w:bCs/>
      <w:noProof/>
      <w:color w:val="000000" w:themeColor="text1"/>
      <w:szCs w:val="22"/>
    </w:rPr>
  </w:style>
  <w:style w:type="paragraph" w:styleId="TOC3">
    <w:name w:val="toc 3"/>
    <w:basedOn w:val="Normal"/>
    <w:next w:val="Normal"/>
    <w:autoRedefine/>
    <w:uiPriority w:val="39"/>
    <w:unhideWhenUsed/>
    <w:rsid w:val="00725ED6"/>
    <w:pPr>
      <w:ind w:left="48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725ED6"/>
    <w:pPr>
      <w:ind w:left="720"/>
    </w:pPr>
    <w:rPr>
      <w:rFonts w:asciiTheme="minorHAnsi" w:eastAsiaTheme="minorHAnsi" w:hAnsiTheme="minorHAnsi" w:cstheme="minorBidi"/>
      <w:sz w:val="20"/>
      <w:szCs w:val="20"/>
    </w:rPr>
  </w:style>
  <w:style w:type="paragraph" w:styleId="TOC5">
    <w:name w:val="toc 5"/>
    <w:basedOn w:val="Normal"/>
    <w:next w:val="Normal"/>
    <w:autoRedefine/>
    <w:uiPriority w:val="39"/>
    <w:unhideWhenUsed/>
    <w:rsid w:val="00725ED6"/>
    <w:pPr>
      <w:ind w:left="96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725ED6"/>
    <w:pPr>
      <w:ind w:left="120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725ED6"/>
    <w:pPr>
      <w:ind w:left="1440"/>
    </w:pPr>
    <w:rPr>
      <w:rFonts w:asciiTheme="minorHAnsi" w:eastAsiaTheme="minorHAnsi" w:hAnsiTheme="minorHAnsi" w:cstheme="minorBidi"/>
      <w:sz w:val="20"/>
      <w:szCs w:val="20"/>
    </w:rPr>
  </w:style>
  <w:style w:type="paragraph" w:styleId="TOC8">
    <w:name w:val="toc 8"/>
    <w:basedOn w:val="Normal"/>
    <w:next w:val="Normal"/>
    <w:autoRedefine/>
    <w:uiPriority w:val="39"/>
    <w:unhideWhenUsed/>
    <w:rsid w:val="00725ED6"/>
    <w:pPr>
      <w:ind w:left="1680"/>
    </w:pPr>
    <w:rPr>
      <w:rFonts w:asciiTheme="minorHAnsi" w:eastAsiaTheme="minorHAnsi" w:hAnsiTheme="minorHAnsi" w:cstheme="minorBidi"/>
      <w:sz w:val="20"/>
      <w:szCs w:val="20"/>
    </w:rPr>
  </w:style>
  <w:style w:type="paragraph" w:styleId="TOC9">
    <w:name w:val="toc 9"/>
    <w:basedOn w:val="Normal"/>
    <w:next w:val="Normal"/>
    <w:autoRedefine/>
    <w:uiPriority w:val="39"/>
    <w:unhideWhenUsed/>
    <w:rsid w:val="00725ED6"/>
    <w:pPr>
      <w:ind w:left="1920"/>
    </w:pPr>
    <w:rPr>
      <w:rFonts w:asciiTheme="minorHAnsi" w:eastAsiaTheme="minorHAnsi" w:hAnsiTheme="minorHAnsi" w:cstheme="minorBid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unhideWhenUsed/>
    <w:rsid w:val="002714B5"/>
    <w:pPr>
      <w:spacing w:before="100" w:beforeAutospacing="1" w:after="100" w:afterAutospacing="1"/>
    </w:pPr>
    <w:rPr>
      <w:rFonts w:ascii="Times" w:eastAsiaTheme="minorEastAsia" w:hAnsi="Times"/>
      <w:sz w:val="20"/>
      <w:szCs w:val="20"/>
    </w:rPr>
  </w:style>
  <w:style w:type="paragraph" w:styleId="FootnoteText">
    <w:name w:val="footnote text"/>
    <w:basedOn w:val="Normal"/>
    <w:link w:val="FootnoteTextChar"/>
    <w:uiPriority w:val="99"/>
    <w:unhideWhenUsed/>
    <w:rsid w:val="002E31B2"/>
    <w:rPr>
      <w:rFonts w:eastAsiaTheme="minorEastAsia"/>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eastAsiaTheme="minorHAnsi"/>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 w:type="character" w:styleId="CommentReference">
    <w:name w:val="annotation reference"/>
    <w:basedOn w:val="DefaultParagraphFont"/>
    <w:uiPriority w:val="99"/>
    <w:semiHidden/>
    <w:unhideWhenUsed/>
    <w:rsid w:val="00893412"/>
    <w:rPr>
      <w:sz w:val="16"/>
      <w:szCs w:val="16"/>
    </w:rPr>
  </w:style>
  <w:style w:type="paragraph" w:styleId="CommentText">
    <w:name w:val="annotation text"/>
    <w:basedOn w:val="Normal"/>
    <w:link w:val="CommentTextChar"/>
    <w:uiPriority w:val="99"/>
    <w:semiHidden/>
    <w:unhideWhenUsed/>
    <w:rsid w:val="00893412"/>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893412"/>
    <w:rPr>
      <w:sz w:val="20"/>
      <w:szCs w:val="20"/>
    </w:rPr>
  </w:style>
  <w:style w:type="paragraph" w:styleId="CommentSubject">
    <w:name w:val="annotation subject"/>
    <w:basedOn w:val="CommentText"/>
    <w:next w:val="CommentText"/>
    <w:link w:val="CommentSubjectChar"/>
    <w:uiPriority w:val="99"/>
    <w:semiHidden/>
    <w:unhideWhenUsed/>
    <w:rsid w:val="00893412"/>
    <w:rPr>
      <w:b/>
      <w:bCs/>
    </w:rPr>
  </w:style>
  <w:style w:type="character" w:customStyle="1" w:styleId="CommentSubjectChar">
    <w:name w:val="Comment Subject Char"/>
    <w:basedOn w:val="CommentTextChar"/>
    <w:link w:val="CommentSubject"/>
    <w:uiPriority w:val="99"/>
    <w:semiHidden/>
    <w:rsid w:val="00893412"/>
    <w:rPr>
      <w:b/>
      <w:bCs/>
      <w:sz w:val="20"/>
      <w:szCs w:val="20"/>
    </w:rPr>
  </w:style>
  <w:style w:type="paragraph" w:styleId="Revision">
    <w:name w:val="Revision"/>
    <w:hidden/>
    <w:uiPriority w:val="99"/>
    <w:semiHidden/>
    <w:rsid w:val="005515FA"/>
  </w:style>
  <w:style w:type="character" w:customStyle="1" w:styleId="UnresolvedMention1">
    <w:name w:val="Unresolved Mention1"/>
    <w:basedOn w:val="DefaultParagraphFont"/>
    <w:uiPriority w:val="99"/>
    <w:semiHidden/>
    <w:unhideWhenUsed/>
    <w:rsid w:val="0019366F"/>
    <w:rPr>
      <w:color w:val="808080"/>
      <w:shd w:val="clear" w:color="auto" w:fill="E6E6E6"/>
    </w:rPr>
  </w:style>
  <w:style w:type="character" w:customStyle="1" w:styleId="UnresolvedMention2">
    <w:name w:val="Unresolved Mention2"/>
    <w:basedOn w:val="DefaultParagraphFont"/>
    <w:uiPriority w:val="99"/>
    <w:semiHidden/>
    <w:unhideWhenUsed/>
    <w:rsid w:val="005E07C5"/>
    <w:rPr>
      <w:color w:val="808080"/>
      <w:shd w:val="clear" w:color="auto" w:fill="E6E6E6"/>
    </w:rPr>
  </w:style>
  <w:style w:type="character" w:customStyle="1" w:styleId="Heading3Char">
    <w:name w:val="Heading 3 Char"/>
    <w:basedOn w:val="DefaultParagraphFont"/>
    <w:link w:val="Heading3"/>
    <w:uiPriority w:val="9"/>
    <w:semiHidden/>
    <w:rsid w:val="00D62280"/>
    <w:rPr>
      <w:rFonts w:asciiTheme="majorHAnsi" w:eastAsiaTheme="majorEastAsia" w:hAnsiTheme="majorHAnsi" w:cstheme="majorBidi"/>
      <w:color w:val="1F3763" w:themeColor="accent1" w:themeShade="7F"/>
    </w:rPr>
  </w:style>
  <w:style w:type="paragraph" w:customStyle="1" w:styleId="TableContents">
    <w:name w:val="Table Contents"/>
    <w:basedOn w:val="Normal"/>
    <w:qFormat/>
    <w:rsid w:val="007D4F38"/>
    <w:pPr>
      <w:suppressLineNumbers/>
      <w:spacing w:after="200" w:line="276" w:lineRule="auto"/>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7C603B"/>
  </w:style>
  <w:style w:type="character" w:styleId="Emphasis">
    <w:name w:val="Emphasis"/>
    <w:basedOn w:val="DefaultParagraphFont"/>
    <w:uiPriority w:val="20"/>
    <w:qFormat/>
    <w:rsid w:val="00EF3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7574">
      <w:bodyDiv w:val="1"/>
      <w:marLeft w:val="0"/>
      <w:marRight w:val="0"/>
      <w:marTop w:val="0"/>
      <w:marBottom w:val="0"/>
      <w:divBdr>
        <w:top w:val="none" w:sz="0" w:space="0" w:color="auto"/>
        <w:left w:val="none" w:sz="0" w:space="0" w:color="auto"/>
        <w:bottom w:val="none" w:sz="0" w:space="0" w:color="auto"/>
        <w:right w:val="none" w:sz="0" w:space="0" w:color="auto"/>
      </w:divBdr>
    </w:div>
    <w:div w:id="79453004">
      <w:bodyDiv w:val="1"/>
      <w:marLeft w:val="0"/>
      <w:marRight w:val="0"/>
      <w:marTop w:val="0"/>
      <w:marBottom w:val="0"/>
      <w:divBdr>
        <w:top w:val="none" w:sz="0" w:space="0" w:color="auto"/>
        <w:left w:val="none" w:sz="0" w:space="0" w:color="auto"/>
        <w:bottom w:val="none" w:sz="0" w:space="0" w:color="auto"/>
        <w:right w:val="none" w:sz="0" w:space="0" w:color="auto"/>
      </w:divBdr>
    </w:div>
    <w:div w:id="151458926">
      <w:bodyDiv w:val="1"/>
      <w:marLeft w:val="0"/>
      <w:marRight w:val="0"/>
      <w:marTop w:val="0"/>
      <w:marBottom w:val="0"/>
      <w:divBdr>
        <w:top w:val="none" w:sz="0" w:space="0" w:color="auto"/>
        <w:left w:val="none" w:sz="0" w:space="0" w:color="auto"/>
        <w:bottom w:val="none" w:sz="0" w:space="0" w:color="auto"/>
        <w:right w:val="none" w:sz="0" w:space="0" w:color="auto"/>
      </w:divBdr>
    </w:div>
    <w:div w:id="175654852">
      <w:bodyDiv w:val="1"/>
      <w:marLeft w:val="0"/>
      <w:marRight w:val="0"/>
      <w:marTop w:val="0"/>
      <w:marBottom w:val="0"/>
      <w:divBdr>
        <w:top w:val="none" w:sz="0" w:space="0" w:color="auto"/>
        <w:left w:val="none" w:sz="0" w:space="0" w:color="auto"/>
        <w:bottom w:val="none" w:sz="0" w:space="0" w:color="auto"/>
        <w:right w:val="none" w:sz="0" w:space="0" w:color="auto"/>
      </w:divBdr>
    </w:div>
    <w:div w:id="219093100">
      <w:bodyDiv w:val="1"/>
      <w:marLeft w:val="0"/>
      <w:marRight w:val="0"/>
      <w:marTop w:val="0"/>
      <w:marBottom w:val="0"/>
      <w:divBdr>
        <w:top w:val="none" w:sz="0" w:space="0" w:color="auto"/>
        <w:left w:val="none" w:sz="0" w:space="0" w:color="auto"/>
        <w:bottom w:val="none" w:sz="0" w:space="0" w:color="auto"/>
        <w:right w:val="none" w:sz="0" w:space="0" w:color="auto"/>
      </w:divBdr>
    </w:div>
    <w:div w:id="221331299">
      <w:bodyDiv w:val="1"/>
      <w:marLeft w:val="0"/>
      <w:marRight w:val="0"/>
      <w:marTop w:val="0"/>
      <w:marBottom w:val="0"/>
      <w:divBdr>
        <w:top w:val="none" w:sz="0" w:space="0" w:color="auto"/>
        <w:left w:val="none" w:sz="0" w:space="0" w:color="auto"/>
        <w:bottom w:val="none" w:sz="0" w:space="0" w:color="auto"/>
        <w:right w:val="none" w:sz="0" w:space="0" w:color="auto"/>
      </w:divBdr>
    </w:div>
    <w:div w:id="306085797">
      <w:bodyDiv w:val="1"/>
      <w:marLeft w:val="0"/>
      <w:marRight w:val="0"/>
      <w:marTop w:val="0"/>
      <w:marBottom w:val="0"/>
      <w:divBdr>
        <w:top w:val="none" w:sz="0" w:space="0" w:color="auto"/>
        <w:left w:val="none" w:sz="0" w:space="0" w:color="auto"/>
        <w:bottom w:val="none" w:sz="0" w:space="0" w:color="auto"/>
        <w:right w:val="none" w:sz="0" w:space="0" w:color="auto"/>
      </w:divBdr>
      <w:divsChild>
        <w:div w:id="899709220">
          <w:marLeft w:val="0"/>
          <w:marRight w:val="0"/>
          <w:marTop w:val="0"/>
          <w:marBottom w:val="0"/>
          <w:divBdr>
            <w:top w:val="none" w:sz="0" w:space="0" w:color="auto"/>
            <w:left w:val="none" w:sz="0" w:space="0" w:color="auto"/>
            <w:bottom w:val="none" w:sz="0" w:space="0" w:color="auto"/>
            <w:right w:val="none" w:sz="0" w:space="0" w:color="auto"/>
          </w:divBdr>
          <w:divsChild>
            <w:div w:id="1650942954">
              <w:marLeft w:val="0"/>
              <w:marRight w:val="0"/>
              <w:marTop w:val="0"/>
              <w:marBottom w:val="0"/>
              <w:divBdr>
                <w:top w:val="none" w:sz="0" w:space="0" w:color="auto"/>
                <w:left w:val="none" w:sz="0" w:space="0" w:color="auto"/>
                <w:bottom w:val="none" w:sz="0" w:space="0" w:color="auto"/>
                <w:right w:val="none" w:sz="0" w:space="0" w:color="auto"/>
              </w:divBdr>
              <w:divsChild>
                <w:div w:id="16257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2975">
      <w:bodyDiv w:val="1"/>
      <w:marLeft w:val="0"/>
      <w:marRight w:val="0"/>
      <w:marTop w:val="0"/>
      <w:marBottom w:val="0"/>
      <w:divBdr>
        <w:top w:val="none" w:sz="0" w:space="0" w:color="auto"/>
        <w:left w:val="none" w:sz="0" w:space="0" w:color="auto"/>
        <w:bottom w:val="none" w:sz="0" w:space="0" w:color="auto"/>
        <w:right w:val="none" w:sz="0" w:space="0" w:color="auto"/>
      </w:divBdr>
    </w:div>
    <w:div w:id="449980153">
      <w:bodyDiv w:val="1"/>
      <w:marLeft w:val="0"/>
      <w:marRight w:val="0"/>
      <w:marTop w:val="0"/>
      <w:marBottom w:val="0"/>
      <w:divBdr>
        <w:top w:val="none" w:sz="0" w:space="0" w:color="auto"/>
        <w:left w:val="none" w:sz="0" w:space="0" w:color="auto"/>
        <w:bottom w:val="none" w:sz="0" w:space="0" w:color="auto"/>
        <w:right w:val="none" w:sz="0" w:space="0" w:color="auto"/>
      </w:divBdr>
    </w:div>
    <w:div w:id="479074829">
      <w:bodyDiv w:val="1"/>
      <w:marLeft w:val="0"/>
      <w:marRight w:val="0"/>
      <w:marTop w:val="0"/>
      <w:marBottom w:val="0"/>
      <w:divBdr>
        <w:top w:val="none" w:sz="0" w:space="0" w:color="auto"/>
        <w:left w:val="none" w:sz="0" w:space="0" w:color="auto"/>
        <w:bottom w:val="none" w:sz="0" w:space="0" w:color="auto"/>
        <w:right w:val="none" w:sz="0" w:space="0" w:color="auto"/>
      </w:divBdr>
    </w:div>
    <w:div w:id="491142640">
      <w:bodyDiv w:val="1"/>
      <w:marLeft w:val="0"/>
      <w:marRight w:val="0"/>
      <w:marTop w:val="0"/>
      <w:marBottom w:val="0"/>
      <w:divBdr>
        <w:top w:val="none" w:sz="0" w:space="0" w:color="auto"/>
        <w:left w:val="none" w:sz="0" w:space="0" w:color="auto"/>
        <w:bottom w:val="none" w:sz="0" w:space="0" w:color="auto"/>
        <w:right w:val="none" w:sz="0" w:space="0" w:color="auto"/>
      </w:divBdr>
    </w:div>
    <w:div w:id="536355703">
      <w:bodyDiv w:val="1"/>
      <w:marLeft w:val="0"/>
      <w:marRight w:val="0"/>
      <w:marTop w:val="0"/>
      <w:marBottom w:val="0"/>
      <w:divBdr>
        <w:top w:val="none" w:sz="0" w:space="0" w:color="auto"/>
        <w:left w:val="none" w:sz="0" w:space="0" w:color="auto"/>
        <w:bottom w:val="none" w:sz="0" w:space="0" w:color="auto"/>
        <w:right w:val="none" w:sz="0" w:space="0" w:color="auto"/>
      </w:divBdr>
    </w:div>
    <w:div w:id="556819563">
      <w:bodyDiv w:val="1"/>
      <w:marLeft w:val="0"/>
      <w:marRight w:val="0"/>
      <w:marTop w:val="0"/>
      <w:marBottom w:val="0"/>
      <w:divBdr>
        <w:top w:val="none" w:sz="0" w:space="0" w:color="auto"/>
        <w:left w:val="none" w:sz="0" w:space="0" w:color="auto"/>
        <w:bottom w:val="none" w:sz="0" w:space="0" w:color="auto"/>
        <w:right w:val="none" w:sz="0" w:space="0" w:color="auto"/>
      </w:divBdr>
    </w:div>
    <w:div w:id="561872868">
      <w:bodyDiv w:val="1"/>
      <w:marLeft w:val="0"/>
      <w:marRight w:val="0"/>
      <w:marTop w:val="0"/>
      <w:marBottom w:val="0"/>
      <w:divBdr>
        <w:top w:val="none" w:sz="0" w:space="0" w:color="auto"/>
        <w:left w:val="none" w:sz="0" w:space="0" w:color="auto"/>
        <w:bottom w:val="none" w:sz="0" w:space="0" w:color="auto"/>
        <w:right w:val="none" w:sz="0" w:space="0" w:color="auto"/>
      </w:divBdr>
    </w:div>
    <w:div w:id="616523455">
      <w:bodyDiv w:val="1"/>
      <w:marLeft w:val="0"/>
      <w:marRight w:val="0"/>
      <w:marTop w:val="0"/>
      <w:marBottom w:val="0"/>
      <w:divBdr>
        <w:top w:val="none" w:sz="0" w:space="0" w:color="auto"/>
        <w:left w:val="none" w:sz="0" w:space="0" w:color="auto"/>
        <w:bottom w:val="none" w:sz="0" w:space="0" w:color="auto"/>
        <w:right w:val="none" w:sz="0" w:space="0" w:color="auto"/>
      </w:divBdr>
    </w:div>
    <w:div w:id="648898677">
      <w:bodyDiv w:val="1"/>
      <w:marLeft w:val="0"/>
      <w:marRight w:val="0"/>
      <w:marTop w:val="0"/>
      <w:marBottom w:val="0"/>
      <w:divBdr>
        <w:top w:val="none" w:sz="0" w:space="0" w:color="auto"/>
        <w:left w:val="none" w:sz="0" w:space="0" w:color="auto"/>
        <w:bottom w:val="none" w:sz="0" w:space="0" w:color="auto"/>
        <w:right w:val="none" w:sz="0" w:space="0" w:color="auto"/>
      </w:divBdr>
    </w:div>
    <w:div w:id="649752799">
      <w:bodyDiv w:val="1"/>
      <w:marLeft w:val="0"/>
      <w:marRight w:val="0"/>
      <w:marTop w:val="0"/>
      <w:marBottom w:val="0"/>
      <w:divBdr>
        <w:top w:val="none" w:sz="0" w:space="0" w:color="auto"/>
        <w:left w:val="none" w:sz="0" w:space="0" w:color="auto"/>
        <w:bottom w:val="none" w:sz="0" w:space="0" w:color="auto"/>
        <w:right w:val="none" w:sz="0" w:space="0" w:color="auto"/>
      </w:divBdr>
    </w:div>
    <w:div w:id="663321732">
      <w:bodyDiv w:val="1"/>
      <w:marLeft w:val="0"/>
      <w:marRight w:val="0"/>
      <w:marTop w:val="0"/>
      <w:marBottom w:val="0"/>
      <w:divBdr>
        <w:top w:val="none" w:sz="0" w:space="0" w:color="auto"/>
        <w:left w:val="none" w:sz="0" w:space="0" w:color="auto"/>
        <w:bottom w:val="none" w:sz="0" w:space="0" w:color="auto"/>
        <w:right w:val="none" w:sz="0" w:space="0" w:color="auto"/>
      </w:divBdr>
    </w:div>
    <w:div w:id="715810481">
      <w:bodyDiv w:val="1"/>
      <w:marLeft w:val="0"/>
      <w:marRight w:val="0"/>
      <w:marTop w:val="0"/>
      <w:marBottom w:val="0"/>
      <w:divBdr>
        <w:top w:val="none" w:sz="0" w:space="0" w:color="auto"/>
        <w:left w:val="none" w:sz="0" w:space="0" w:color="auto"/>
        <w:bottom w:val="none" w:sz="0" w:space="0" w:color="auto"/>
        <w:right w:val="none" w:sz="0" w:space="0" w:color="auto"/>
      </w:divBdr>
    </w:div>
    <w:div w:id="729111986">
      <w:bodyDiv w:val="1"/>
      <w:marLeft w:val="0"/>
      <w:marRight w:val="0"/>
      <w:marTop w:val="0"/>
      <w:marBottom w:val="0"/>
      <w:divBdr>
        <w:top w:val="none" w:sz="0" w:space="0" w:color="auto"/>
        <w:left w:val="none" w:sz="0" w:space="0" w:color="auto"/>
        <w:bottom w:val="none" w:sz="0" w:space="0" w:color="auto"/>
        <w:right w:val="none" w:sz="0" w:space="0" w:color="auto"/>
      </w:divBdr>
    </w:div>
    <w:div w:id="755978290">
      <w:bodyDiv w:val="1"/>
      <w:marLeft w:val="0"/>
      <w:marRight w:val="0"/>
      <w:marTop w:val="0"/>
      <w:marBottom w:val="0"/>
      <w:divBdr>
        <w:top w:val="none" w:sz="0" w:space="0" w:color="auto"/>
        <w:left w:val="none" w:sz="0" w:space="0" w:color="auto"/>
        <w:bottom w:val="none" w:sz="0" w:space="0" w:color="auto"/>
        <w:right w:val="none" w:sz="0" w:space="0" w:color="auto"/>
      </w:divBdr>
    </w:div>
    <w:div w:id="827482256">
      <w:bodyDiv w:val="1"/>
      <w:marLeft w:val="0"/>
      <w:marRight w:val="0"/>
      <w:marTop w:val="0"/>
      <w:marBottom w:val="0"/>
      <w:divBdr>
        <w:top w:val="none" w:sz="0" w:space="0" w:color="auto"/>
        <w:left w:val="none" w:sz="0" w:space="0" w:color="auto"/>
        <w:bottom w:val="none" w:sz="0" w:space="0" w:color="auto"/>
        <w:right w:val="none" w:sz="0" w:space="0" w:color="auto"/>
      </w:divBdr>
    </w:div>
    <w:div w:id="900021476">
      <w:bodyDiv w:val="1"/>
      <w:marLeft w:val="0"/>
      <w:marRight w:val="0"/>
      <w:marTop w:val="0"/>
      <w:marBottom w:val="0"/>
      <w:divBdr>
        <w:top w:val="none" w:sz="0" w:space="0" w:color="auto"/>
        <w:left w:val="none" w:sz="0" w:space="0" w:color="auto"/>
        <w:bottom w:val="none" w:sz="0" w:space="0" w:color="auto"/>
        <w:right w:val="none" w:sz="0" w:space="0" w:color="auto"/>
      </w:divBdr>
    </w:div>
    <w:div w:id="913395631">
      <w:bodyDiv w:val="1"/>
      <w:marLeft w:val="0"/>
      <w:marRight w:val="0"/>
      <w:marTop w:val="0"/>
      <w:marBottom w:val="0"/>
      <w:divBdr>
        <w:top w:val="none" w:sz="0" w:space="0" w:color="auto"/>
        <w:left w:val="none" w:sz="0" w:space="0" w:color="auto"/>
        <w:bottom w:val="none" w:sz="0" w:space="0" w:color="auto"/>
        <w:right w:val="none" w:sz="0" w:space="0" w:color="auto"/>
      </w:divBdr>
      <w:divsChild>
        <w:div w:id="2132045102">
          <w:marLeft w:val="0"/>
          <w:marRight w:val="0"/>
          <w:marTop w:val="0"/>
          <w:marBottom w:val="0"/>
          <w:divBdr>
            <w:top w:val="none" w:sz="0" w:space="0" w:color="auto"/>
            <w:left w:val="none" w:sz="0" w:space="0" w:color="auto"/>
            <w:bottom w:val="none" w:sz="0" w:space="0" w:color="auto"/>
            <w:right w:val="none" w:sz="0" w:space="0" w:color="auto"/>
          </w:divBdr>
          <w:divsChild>
            <w:div w:id="1851287419">
              <w:marLeft w:val="0"/>
              <w:marRight w:val="0"/>
              <w:marTop w:val="0"/>
              <w:marBottom w:val="0"/>
              <w:divBdr>
                <w:top w:val="none" w:sz="0" w:space="0" w:color="auto"/>
                <w:left w:val="none" w:sz="0" w:space="0" w:color="auto"/>
                <w:bottom w:val="none" w:sz="0" w:space="0" w:color="auto"/>
                <w:right w:val="none" w:sz="0" w:space="0" w:color="auto"/>
              </w:divBdr>
              <w:divsChild>
                <w:div w:id="1118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2451">
      <w:bodyDiv w:val="1"/>
      <w:marLeft w:val="0"/>
      <w:marRight w:val="0"/>
      <w:marTop w:val="0"/>
      <w:marBottom w:val="0"/>
      <w:divBdr>
        <w:top w:val="none" w:sz="0" w:space="0" w:color="auto"/>
        <w:left w:val="none" w:sz="0" w:space="0" w:color="auto"/>
        <w:bottom w:val="none" w:sz="0" w:space="0" w:color="auto"/>
        <w:right w:val="none" w:sz="0" w:space="0" w:color="auto"/>
      </w:divBdr>
      <w:divsChild>
        <w:div w:id="267659061">
          <w:marLeft w:val="0"/>
          <w:marRight w:val="0"/>
          <w:marTop w:val="0"/>
          <w:marBottom w:val="0"/>
          <w:divBdr>
            <w:top w:val="none" w:sz="0" w:space="0" w:color="auto"/>
            <w:left w:val="none" w:sz="0" w:space="0" w:color="auto"/>
            <w:bottom w:val="none" w:sz="0" w:space="0" w:color="auto"/>
            <w:right w:val="none" w:sz="0" w:space="0" w:color="auto"/>
          </w:divBdr>
          <w:divsChild>
            <w:div w:id="792870213">
              <w:marLeft w:val="0"/>
              <w:marRight w:val="0"/>
              <w:marTop w:val="0"/>
              <w:marBottom w:val="0"/>
              <w:divBdr>
                <w:top w:val="none" w:sz="0" w:space="0" w:color="auto"/>
                <w:left w:val="none" w:sz="0" w:space="0" w:color="auto"/>
                <w:bottom w:val="none" w:sz="0" w:space="0" w:color="auto"/>
                <w:right w:val="none" w:sz="0" w:space="0" w:color="auto"/>
              </w:divBdr>
              <w:divsChild>
                <w:div w:id="19185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23237">
      <w:bodyDiv w:val="1"/>
      <w:marLeft w:val="0"/>
      <w:marRight w:val="0"/>
      <w:marTop w:val="0"/>
      <w:marBottom w:val="0"/>
      <w:divBdr>
        <w:top w:val="none" w:sz="0" w:space="0" w:color="auto"/>
        <w:left w:val="none" w:sz="0" w:space="0" w:color="auto"/>
        <w:bottom w:val="none" w:sz="0" w:space="0" w:color="auto"/>
        <w:right w:val="none" w:sz="0" w:space="0" w:color="auto"/>
      </w:divBdr>
    </w:div>
    <w:div w:id="1088114367">
      <w:bodyDiv w:val="1"/>
      <w:marLeft w:val="0"/>
      <w:marRight w:val="0"/>
      <w:marTop w:val="0"/>
      <w:marBottom w:val="0"/>
      <w:divBdr>
        <w:top w:val="none" w:sz="0" w:space="0" w:color="auto"/>
        <w:left w:val="none" w:sz="0" w:space="0" w:color="auto"/>
        <w:bottom w:val="none" w:sz="0" w:space="0" w:color="auto"/>
        <w:right w:val="none" w:sz="0" w:space="0" w:color="auto"/>
      </w:divBdr>
    </w:div>
    <w:div w:id="1089692083">
      <w:bodyDiv w:val="1"/>
      <w:marLeft w:val="0"/>
      <w:marRight w:val="0"/>
      <w:marTop w:val="0"/>
      <w:marBottom w:val="0"/>
      <w:divBdr>
        <w:top w:val="none" w:sz="0" w:space="0" w:color="auto"/>
        <w:left w:val="none" w:sz="0" w:space="0" w:color="auto"/>
        <w:bottom w:val="none" w:sz="0" w:space="0" w:color="auto"/>
        <w:right w:val="none" w:sz="0" w:space="0" w:color="auto"/>
      </w:divBdr>
    </w:div>
    <w:div w:id="1105345762">
      <w:bodyDiv w:val="1"/>
      <w:marLeft w:val="0"/>
      <w:marRight w:val="0"/>
      <w:marTop w:val="0"/>
      <w:marBottom w:val="0"/>
      <w:divBdr>
        <w:top w:val="none" w:sz="0" w:space="0" w:color="auto"/>
        <w:left w:val="none" w:sz="0" w:space="0" w:color="auto"/>
        <w:bottom w:val="none" w:sz="0" w:space="0" w:color="auto"/>
        <w:right w:val="none" w:sz="0" w:space="0" w:color="auto"/>
      </w:divBdr>
    </w:div>
    <w:div w:id="1156998464">
      <w:bodyDiv w:val="1"/>
      <w:marLeft w:val="0"/>
      <w:marRight w:val="0"/>
      <w:marTop w:val="0"/>
      <w:marBottom w:val="0"/>
      <w:divBdr>
        <w:top w:val="none" w:sz="0" w:space="0" w:color="auto"/>
        <w:left w:val="none" w:sz="0" w:space="0" w:color="auto"/>
        <w:bottom w:val="none" w:sz="0" w:space="0" w:color="auto"/>
        <w:right w:val="none" w:sz="0" w:space="0" w:color="auto"/>
      </w:divBdr>
    </w:div>
    <w:div w:id="1183860379">
      <w:bodyDiv w:val="1"/>
      <w:marLeft w:val="0"/>
      <w:marRight w:val="0"/>
      <w:marTop w:val="0"/>
      <w:marBottom w:val="0"/>
      <w:divBdr>
        <w:top w:val="none" w:sz="0" w:space="0" w:color="auto"/>
        <w:left w:val="none" w:sz="0" w:space="0" w:color="auto"/>
        <w:bottom w:val="none" w:sz="0" w:space="0" w:color="auto"/>
        <w:right w:val="none" w:sz="0" w:space="0" w:color="auto"/>
      </w:divBdr>
    </w:div>
    <w:div w:id="1251548411">
      <w:bodyDiv w:val="1"/>
      <w:marLeft w:val="0"/>
      <w:marRight w:val="0"/>
      <w:marTop w:val="0"/>
      <w:marBottom w:val="0"/>
      <w:divBdr>
        <w:top w:val="none" w:sz="0" w:space="0" w:color="auto"/>
        <w:left w:val="none" w:sz="0" w:space="0" w:color="auto"/>
        <w:bottom w:val="none" w:sz="0" w:space="0" w:color="auto"/>
        <w:right w:val="none" w:sz="0" w:space="0" w:color="auto"/>
      </w:divBdr>
    </w:div>
    <w:div w:id="1252087627">
      <w:bodyDiv w:val="1"/>
      <w:marLeft w:val="0"/>
      <w:marRight w:val="0"/>
      <w:marTop w:val="0"/>
      <w:marBottom w:val="0"/>
      <w:divBdr>
        <w:top w:val="none" w:sz="0" w:space="0" w:color="auto"/>
        <w:left w:val="none" w:sz="0" w:space="0" w:color="auto"/>
        <w:bottom w:val="none" w:sz="0" w:space="0" w:color="auto"/>
        <w:right w:val="none" w:sz="0" w:space="0" w:color="auto"/>
      </w:divBdr>
    </w:div>
    <w:div w:id="1252202378">
      <w:bodyDiv w:val="1"/>
      <w:marLeft w:val="0"/>
      <w:marRight w:val="0"/>
      <w:marTop w:val="0"/>
      <w:marBottom w:val="0"/>
      <w:divBdr>
        <w:top w:val="none" w:sz="0" w:space="0" w:color="auto"/>
        <w:left w:val="none" w:sz="0" w:space="0" w:color="auto"/>
        <w:bottom w:val="none" w:sz="0" w:space="0" w:color="auto"/>
        <w:right w:val="none" w:sz="0" w:space="0" w:color="auto"/>
      </w:divBdr>
    </w:div>
    <w:div w:id="1268806492">
      <w:bodyDiv w:val="1"/>
      <w:marLeft w:val="0"/>
      <w:marRight w:val="0"/>
      <w:marTop w:val="0"/>
      <w:marBottom w:val="0"/>
      <w:divBdr>
        <w:top w:val="none" w:sz="0" w:space="0" w:color="auto"/>
        <w:left w:val="none" w:sz="0" w:space="0" w:color="auto"/>
        <w:bottom w:val="none" w:sz="0" w:space="0" w:color="auto"/>
        <w:right w:val="none" w:sz="0" w:space="0" w:color="auto"/>
      </w:divBdr>
    </w:div>
    <w:div w:id="1287354017">
      <w:bodyDiv w:val="1"/>
      <w:marLeft w:val="0"/>
      <w:marRight w:val="0"/>
      <w:marTop w:val="0"/>
      <w:marBottom w:val="0"/>
      <w:divBdr>
        <w:top w:val="none" w:sz="0" w:space="0" w:color="auto"/>
        <w:left w:val="none" w:sz="0" w:space="0" w:color="auto"/>
        <w:bottom w:val="none" w:sz="0" w:space="0" w:color="auto"/>
        <w:right w:val="none" w:sz="0" w:space="0" w:color="auto"/>
      </w:divBdr>
    </w:div>
    <w:div w:id="1293556800">
      <w:bodyDiv w:val="1"/>
      <w:marLeft w:val="0"/>
      <w:marRight w:val="0"/>
      <w:marTop w:val="0"/>
      <w:marBottom w:val="0"/>
      <w:divBdr>
        <w:top w:val="none" w:sz="0" w:space="0" w:color="auto"/>
        <w:left w:val="none" w:sz="0" w:space="0" w:color="auto"/>
        <w:bottom w:val="none" w:sz="0" w:space="0" w:color="auto"/>
        <w:right w:val="none" w:sz="0" w:space="0" w:color="auto"/>
      </w:divBdr>
      <w:divsChild>
        <w:div w:id="1952928352">
          <w:marLeft w:val="0"/>
          <w:marRight w:val="0"/>
          <w:marTop w:val="0"/>
          <w:marBottom w:val="0"/>
          <w:divBdr>
            <w:top w:val="none" w:sz="0" w:space="0" w:color="auto"/>
            <w:left w:val="none" w:sz="0" w:space="0" w:color="auto"/>
            <w:bottom w:val="none" w:sz="0" w:space="0" w:color="auto"/>
            <w:right w:val="none" w:sz="0" w:space="0" w:color="auto"/>
          </w:divBdr>
          <w:divsChild>
            <w:div w:id="122894593">
              <w:marLeft w:val="0"/>
              <w:marRight w:val="0"/>
              <w:marTop w:val="0"/>
              <w:marBottom w:val="0"/>
              <w:divBdr>
                <w:top w:val="none" w:sz="0" w:space="0" w:color="auto"/>
                <w:left w:val="none" w:sz="0" w:space="0" w:color="auto"/>
                <w:bottom w:val="none" w:sz="0" w:space="0" w:color="auto"/>
                <w:right w:val="none" w:sz="0" w:space="0" w:color="auto"/>
              </w:divBdr>
              <w:divsChild>
                <w:div w:id="20158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9074">
      <w:bodyDiv w:val="1"/>
      <w:marLeft w:val="0"/>
      <w:marRight w:val="0"/>
      <w:marTop w:val="0"/>
      <w:marBottom w:val="0"/>
      <w:divBdr>
        <w:top w:val="none" w:sz="0" w:space="0" w:color="auto"/>
        <w:left w:val="none" w:sz="0" w:space="0" w:color="auto"/>
        <w:bottom w:val="none" w:sz="0" w:space="0" w:color="auto"/>
        <w:right w:val="none" w:sz="0" w:space="0" w:color="auto"/>
      </w:divBdr>
    </w:div>
    <w:div w:id="1487671542">
      <w:bodyDiv w:val="1"/>
      <w:marLeft w:val="0"/>
      <w:marRight w:val="0"/>
      <w:marTop w:val="0"/>
      <w:marBottom w:val="0"/>
      <w:divBdr>
        <w:top w:val="none" w:sz="0" w:space="0" w:color="auto"/>
        <w:left w:val="none" w:sz="0" w:space="0" w:color="auto"/>
        <w:bottom w:val="none" w:sz="0" w:space="0" w:color="auto"/>
        <w:right w:val="none" w:sz="0" w:space="0" w:color="auto"/>
      </w:divBdr>
    </w:div>
    <w:div w:id="1537498994">
      <w:bodyDiv w:val="1"/>
      <w:marLeft w:val="0"/>
      <w:marRight w:val="0"/>
      <w:marTop w:val="0"/>
      <w:marBottom w:val="0"/>
      <w:divBdr>
        <w:top w:val="none" w:sz="0" w:space="0" w:color="auto"/>
        <w:left w:val="none" w:sz="0" w:space="0" w:color="auto"/>
        <w:bottom w:val="none" w:sz="0" w:space="0" w:color="auto"/>
        <w:right w:val="none" w:sz="0" w:space="0" w:color="auto"/>
      </w:divBdr>
    </w:div>
    <w:div w:id="1558323459">
      <w:bodyDiv w:val="1"/>
      <w:marLeft w:val="0"/>
      <w:marRight w:val="0"/>
      <w:marTop w:val="0"/>
      <w:marBottom w:val="0"/>
      <w:divBdr>
        <w:top w:val="none" w:sz="0" w:space="0" w:color="auto"/>
        <w:left w:val="none" w:sz="0" w:space="0" w:color="auto"/>
        <w:bottom w:val="none" w:sz="0" w:space="0" w:color="auto"/>
        <w:right w:val="none" w:sz="0" w:space="0" w:color="auto"/>
      </w:divBdr>
    </w:div>
    <w:div w:id="1564944066">
      <w:bodyDiv w:val="1"/>
      <w:marLeft w:val="0"/>
      <w:marRight w:val="0"/>
      <w:marTop w:val="0"/>
      <w:marBottom w:val="0"/>
      <w:divBdr>
        <w:top w:val="none" w:sz="0" w:space="0" w:color="auto"/>
        <w:left w:val="none" w:sz="0" w:space="0" w:color="auto"/>
        <w:bottom w:val="none" w:sz="0" w:space="0" w:color="auto"/>
        <w:right w:val="none" w:sz="0" w:space="0" w:color="auto"/>
      </w:divBdr>
    </w:div>
    <w:div w:id="1577470103">
      <w:bodyDiv w:val="1"/>
      <w:marLeft w:val="0"/>
      <w:marRight w:val="0"/>
      <w:marTop w:val="0"/>
      <w:marBottom w:val="0"/>
      <w:divBdr>
        <w:top w:val="none" w:sz="0" w:space="0" w:color="auto"/>
        <w:left w:val="none" w:sz="0" w:space="0" w:color="auto"/>
        <w:bottom w:val="none" w:sz="0" w:space="0" w:color="auto"/>
        <w:right w:val="none" w:sz="0" w:space="0" w:color="auto"/>
      </w:divBdr>
    </w:div>
    <w:div w:id="1594050719">
      <w:bodyDiv w:val="1"/>
      <w:marLeft w:val="0"/>
      <w:marRight w:val="0"/>
      <w:marTop w:val="0"/>
      <w:marBottom w:val="0"/>
      <w:divBdr>
        <w:top w:val="none" w:sz="0" w:space="0" w:color="auto"/>
        <w:left w:val="none" w:sz="0" w:space="0" w:color="auto"/>
        <w:bottom w:val="none" w:sz="0" w:space="0" w:color="auto"/>
        <w:right w:val="none" w:sz="0" w:space="0" w:color="auto"/>
      </w:divBdr>
    </w:div>
    <w:div w:id="1604922886">
      <w:bodyDiv w:val="1"/>
      <w:marLeft w:val="0"/>
      <w:marRight w:val="0"/>
      <w:marTop w:val="0"/>
      <w:marBottom w:val="0"/>
      <w:divBdr>
        <w:top w:val="none" w:sz="0" w:space="0" w:color="auto"/>
        <w:left w:val="none" w:sz="0" w:space="0" w:color="auto"/>
        <w:bottom w:val="none" w:sz="0" w:space="0" w:color="auto"/>
        <w:right w:val="none" w:sz="0" w:space="0" w:color="auto"/>
      </w:divBdr>
    </w:div>
    <w:div w:id="1705516556">
      <w:bodyDiv w:val="1"/>
      <w:marLeft w:val="0"/>
      <w:marRight w:val="0"/>
      <w:marTop w:val="0"/>
      <w:marBottom w:val="0"/>
      <w:divBdr>
        <w:top w:val="none" w:sz="0" w:space="0" w:color="auto"/>
        <w:left w:val="none" w:sz="0" w:space="0" w:color="auto"/>
        <w:bottom w:val="none" w:sz="0" w:space="0" w:color="auto"/>
        <w:right w:val="none" w:sz="0" w:space="0" w:color="auto"/>
      </w:divBdr>
    </w:div>
    <w:div w:id="1759054752">
      <w:bodyDiv w:val="1"/>
      <w:marLeft w:val="0"/>
      <w:marRight w:val="0"/>
      <w:marTop w:val="0"/>
      <w:marBottom w:val="0"/>
      <w:divBdr>
        <w:top w:val="none" w:sz="0" w:space="0" w:color="auto"/>
        <w:left w:val="none" w:sz="0" w:space="0" w:color="auto"/>
        <w:bottom w:val="none" w:sz="0" w:space="0" w:color="auto"/>
        <w:right w:val="none" w:sz="0" w:space="0" w:color="auto"/>
      </w:divBdr>
    </w:div>
    <w:div w:id="1787893979">
      <w:bodyDiv w:val="1"/>
      <w:marLeft w:val="0"/>
      <w:marRight w:val="0"/>
      <w:marTop w:val="0"/>
      <w:marBottom w:val="0"/>
      <w:divBdr>
        <w:top w:val="none" w:sz="0" w:space="0" w:color="auto"/>
        <w:left w:val="none" w:sz="0" w:space="0" w:color="auto"/>
        <w:bottom w:val="none" w:sz="0" w:space="0" w:color="auto"/>
        <w:right w:val="none" w:sz="0" w:space="0" w:color="auto"/>
      </w:divBdr>
    </w:div>
    <w:div w:id="1865707760">
      <w:bodyDiv w:val="1"/>
      <w:marLeft w:val="0"/>
      <w:marRight w:val="0"/>
      <w:marTop w:val="0"/>
      <w:marBottom w:val="0"/>
      <w:divBdr>
        <w:top w:val="none" w:sz="0" w:space="0" w:color="auto"/>
        <w:left w:val="none" w:sz="0" w:space="0" w:color="auto"/>
        <w:bottom w:val="none" w:sz="0" w:space="0" w:color="auto"/>
        <w:right w:val="none" w:sz="0" w:space="0" w:color="auto"/>
      </w:divBdr>
    </w:div>
    <w:div w:id="1947152482">
      <w:bodyDiv w:val="1"/>
      <w:marLeft w:val="0"/>
      <w:marRight w:val="0"/>
      <w:marTop w:val="0"/>
      <w:marBottom w:val="0"/>
      <w:divBdr>
        <w:top w:val="none" w:sz="0" w:space="0" w:color="auto"/>
        <w:left w:val="none" w:sz="0" w:space="0" w:color="auto"/>
        <w:bottom w:val="none" w:sz="0" w:space="0" w:color="auto"/>
        <w:right w:val="none" w:sz="0" w:space="0" w:color="auto"/>
      </w:divBdr>
    </w:div>
    <w:div w:id="1952664245">
      <w:bodyDiv w:val="1"/>
      <w:marLeft w:val="0"/>
      <w:marRight w:val="0"/>
      <w:marTop w:val="0"/>
      <w:marBottom w:val="0"/>
      <w:divBdr>
        <w:top w:val="none" w:sz="0" w:space="0" w:color="auto"/>
        <w:left w:val="none" w:sz="0" w:space="0" w:color="auto"/>
        <w:bottom w:val="none" w:sz="0" w:space="0" w:color="auto"/>
        <w:right w:val="none" w:sz="0" w:space="0" w:color="auto"/>
      </w:divBdr>
    </w:div>
    <w:div w:id="2017146869">
      <w:bodyDiv w:val="1"/>
      <w:marLeft w:val="0"/>
      <w:marRight w:val="0"/>
      <w:marTop w:val="0"/>
      <w:marBottom w:val="0"/>
      <w:divBdr>
        <w:top w:val="none" w:sz="0" w:space="0" w:color="auto"/>
        <w:left w:val="none" w:sz="0" w:space="0" w:color="auto"/>
        <w:bottom w:val="none" w:sz="0" w:space="0" w:color="auto"/>
        <w:right w:val="none" w:sz="0" w:space="0" w:color="auto"/>
      </w:divBdr>
    </w:div>
    <w:div w:id="2080782818">
      <w:bodyDiv w:val="1"/>
      <w:marLeft w:val="0"/>
      <w:marRight w:val="0"/>
      <w:marTop w:val="0"/>
      <w:marBottom w:val="0"/>
      <w:divBdr>
        <w:top w:val="none" w:sz="0" w:space="0" w:color="auto"/>
        <w:left w:val="none" w:sz="0" w:space="0" w:color="auto"/>
        <w:bottom w:val="none" w:sz="0" w:space="0" w:color="auto"/>
        <w:right w:val="none" w:sz="0" w:space="0" w:color="auto"/>
      </w:divBdr>
    </w:div>
    <w:div w:id="2090732782">
      <w:bodyDiv w:val="1"/>
      <w:marLeft w:val="0"/>
      <w:marRight w:val="0"/>
      <w:marTop w:val="0"/>
      <w:marBottom w:val="0"/>
      <w:divBdr>
        <w:top w:val="none" w:sz="0" w:space="0" w:color="auto"/>
        <w:left w:val="none" w:sz="0" w:space="0" w:color="auto"/>
        <w:bottom w:val="none" w:sz="0" w:space="0" w:color="auto"/>
        <w:right w:val="none" w:sz="0" w:space="0" w:color="auto"/>
      </w:divBdr>
    </w:div>
    <w:div w:id="2124033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5.xml"/><Relationship Id="rId21" Type="http://schemas.openxmlformats.org/officeDocument/2006/relationships/footer" Target="footer3.xml"/><Relationship Id="rId22" Type="http://schemas.openxmlformats.org/officeDocument/2006/relationships/header" Target="header6.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asccc.org/sites/default/files/DelRolesRespon09.pdf"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yperlink" Target="https://www.asccc.org/resolutions/mission-statement-academic-senate" TargetMode="External"/><Relationship Id="rId16" Type="http://schemas.openxmlformats.org/officeDocument/2006/relationships/hyperlink" Target="https://www.asccc.org/resolutions/amend-asccc-mission-statement" TargetMode="External"/><Relationship Id="rId17" Type="http://schemas.openxmlformats.org/officeDocument/2006/relationships/hyperlink" Target="https://www.asccc.org/resolutions/amend-asccc-mission-statement" TargetMode="External"/><Relationship Id="rId18" Type="http://schemas.openxmlformats.org/officeDocument/2006/relationships/hyperlink" Target="https://www.asccc.org/resolutions/adopt-senate%E2%80%99s-value-statements"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melanietervalon.com/wp-content/uploads/2013/08/CulturalHumility_Tervalon-and-Murray-Garcia-Article.pdf" TargetMode="External"/><Relationship Id="rId4" Type="http://schemas.openxmlformats.org/officeDocument/2006/relationships/hyperlink" Target="https://melanietervalon.com/wp-content/uploads/2013/08/CulturalHumility_Tervalon-and-Murray-Garcia-Article.pdf" TargetMode="External"/><Relationship Id="rId5" Type="http://schemas.openxmlformats.org/officeDocument/2006/relationships/hyperlink" Target="https://www.tolerance.org/professional-development/being-culturally-responsive" TargetMode="External"/><Relationship Id="rId6" Type="http://schemas.openxmlformats.org/officeDocument/2006/relationships/hyperlink" Target="https://www.tolerance.org/professional-development/being-culturally-responsive" TargetMode="External"/><Relationship Id="rId7" Type="http://schemas.openxmlformats.org/officeDocument/2006/relationships/hyperlink" Target="https://cue.usc.edu/about/equity/equity-mindedness/" TargetMode="External"/><Relationship Id="rId8" Type="http://schemas.openxmlformats.org/officeDocument/2006/relationships/hyperlink" Target="https://cue.usc.edu/about/equity/equity-mindedness/" TargetMode="External"/><Relationship Id="rId1" Type="http://schemas.openxmlformats.org/officeDocument/2006/relationships/hyperlink" Target="https://urldefense.com/v3/__https:/www.cccco.edu/-/media/CCCCO-Website/Files/BOG/2019/bog-agenda-09-16-17-2019.ashx?la=en&amp;hash=7D1FC0B7B1D994735C9EEF66F407D82D86AE1625__;!!A-B3JKCz!TvHXsga7AKIs3prht6aRNGeXe93zCwgnTEk7X_Sv0JdypBoxWBCKjGqZebsg_PozGw$" TargetMode="External"/><Relationship Id="rId2" Type="http://schemas.openxmlformats.org/officeDocument/2006/relationships/hyperlink" Target="https://urldefense.com/v3/__https:/www.cccco.edu/-/media/CCCCO-Website/Files/BOG/2019/bog-agenda-09-16-17-2019.ashx?la=en&amp;hash=7D1FC0B7B1D994735C9EEF66F407D82D86AE1625__;!!A-B3JKCz!TvHXsga7AKIs3prht6aRNGeXe93zCwgnTEk7X_Sv0JdypBoxWBCKjGqZebsg_Poz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042FFD-EE95-1448-BCF8-377BFEEA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2482</Words>
  <Characters>14154</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krystinne@asccc.org</cp:lastModifiedBy>
  <cp:revision>4</cp:revision>
  <cp:lastPrinted>2019-04-12T02:55:00Z</cp:lastPrinted>
  <dcterms:created xsi:type="dcterms:W3CDTF">2020-03-09T23:06:00Z</dcterms:created>
  <dcterms:modified xsi:type="dcterms:W3CDTF">2020-03-09T23:06:00Z</dcterms:modified>
</cp:coreProperties>
</file>